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Pr>
      <w:tblGrid>
        <w:gridCol w:w="10368"/>
      </w:tblGrid>
      <w:tr>
        <w:tc>
          <w:tcPr>
            <w:tcW w:type="dxa" w:w="10368"/>
            <w:shd w:fill="000000"/>
          </w:tcPr>
          <w:p>
            <w:pPr>
              <w:spacing w:before="920"/>
              <w:jc w:val="center"/>
            </w:pPr>
            <w:r/>
            <w:r>
              <w:rPr>
                <w:b/>
                <w:color w:val="E31B23"/>
                <w:sz w:val="88"/>
              </w:rPr>
              <w:t>STARLAB</w:t>
            </w:r>
          </w:p>
          <w:p>
            <w:pPr>
              <w:jc w:val="center"/>
            </w:pPr>
            <w:r>
              <w:rPr>
                <w:b/>
                <w:color w:val="FFFFFF"/>
                <w:sz w:val="40"/>
              </w:rPr>
              <w:t>SAFETY SCOPE GUIDE BY PROJECT TYPE</w:t>
            </w:r>
          </w:p>
          <w:p>
            <w:pPr>
              <w:jc w:val="center"/>
            </w:pPr>
            <w:r>
              <w:rPr>
                <w:color w:val="D2D2D2"/>
                <w:sz w:val="20"/>
              </w:rPr>
              <w:t>Teacher-facing guidance for screening, approving, supervising, and redirecting student research projects</w:t>
            </w:r>
          </w:p>
          <w:p>
            <w:pPr>
              <w:jc w:val="center"/>
            </w:pPr>
            <w:r>
              <w:rPr>
                <w:color w:val="B4B4B4"/>
                <w:sz w:val="18"/>
              </w:rPr>
              <w:t>Science Through Advanced Research, Learning, Application, and Building</w:t>
            </w:r>
          </w:p>
          <w:p>
            <w:pPr>
              <w:spacing w:after="920"/>
              <w:jc w:val="center"/>
            </w:pPr>
            <w:r>
              <w:rPr>
                <w:b/>
                <w:color w:val="E31B23"/>
                <w:sz w:val="18"/>
              </w:rPr>
              <w:t>Portal Resource 16</w:t>
            </w:r>
          </w:p>
        </w:tc>
        <w:trPr>
          <w:tblHeader/>
        </w:trPr>
      </w:tr>
    </w:tbl>
    <w:p>
      <w:r>
        <w:br w:type="page"/>
      </w:r>
    </w:p>
    <w:p>
      <w:pPr>
        <w:pStyle w:val="Heading1"/>
      </w:pPr>
      <w:r>
        <w:t>Purpose of This Guide</w:t>
      </w:r>
    </w:p>
    <w:p>
      <w:pPr>
        <w:spacing w:before="40" w:after="120"/>
        <w:pBdr>
          <w:bottom w:val="single" w:sz="8" w:space="1" w:color="E31B23"/>
        </w:pBdr>
      </w:pPr>
    </w:p>
    <w:p>
      <w:r>
        <w:t>This guide helps STARLAB teachers quickly screen student project ideas by project type. It is designed for use before pilot testing, during project approval conferences, and whenever a student changes methods, materials, data sources, or project scope.</w:t>
      </w:r>
    </w:p>
    <w:p>
      <w:r>
        <w:t>This guide supplements local safety requirements. Stricter school, district, institutional, mentor-site, science-fair, or laboratory rules take priority; pause uncertain work for review.</w:t>
      </w:r>
    </w:p>
    <w:p>
      <w:pPr/>
      <w:r>
        <w:rPr>
          <w:b/>
        </w:rPr>
        <w:t>Authority: Use this guide to assess scope, controls, and review needs. Record the official decision and exact status in the Project Approval Tracker.</w:t>
      </w:r>
    </w:p>
    <w:tbl>
      <w:tblPr>
        <w:tblW w:type="auto" w:w="0"/>
        <w:jc w:val="center"/>
        <w:tblLook w:firstColumn="1" w:firstRow="1" w:lastColumn="0" w:lastRow="0" w:noHBand="0" w:noVBand="1" w:val="04A0"/>
        <w:tblBorders>
          <w:top w:val="single" w:sz="8" w:space="0" w:color="E31B23"/>
          <w:left w:val="single" w:sz="8" w:space="0" w:color="E31B23"/>
          <w:bottom w:val="single" w:sz="8" w:space="0" w:color="E31B23"/>
          <w:right w:val="single" w:sz="8" w:space="0" w:color="E31B23"/>
          <w:insideH w:val="single" w:sz="8" w:space="0" w:color="E31B23"/>
          <w:insideV w:val="single" w:sz="8" w:space="0" w:color="E31B23"/>
        </w:tblBorders>
      </w:tblPr>
      <w:tblGrid>
        <w:gridCol w:w="10368"/>
      </w:tblGrid>
      <w:tr>
        <w:tc>
          <w:tcPr>
            <w:tcW w:type="dxa" w:w="10368"/>
            <w:shd w:fill="111111"/>
          </w:tcPr>
          <w:p>
            <w:pPr>
              <w:spacing w:after="80"/>
            </w:pPr>
            <w:r/>
            <w:r>
              <w:rPr>
                <w:b/>
                <w:color w:val="FFFFFF"/>
                <w:sz w:val="20"/>
              </w:rPr>
              <w:t>Core Principle</w:t>
            </w:r>
          </w:p>
          <w:p>
            <w:pPr>
              <w:spacing w:after="40"/>
            </w:pPr>
            <w:r>
              <w:rPr>
                <w:color w:val="FFFFFF"/>
                <w:sz w:val="18"/>
              </w:rPr>
              <w:t>A safer version of a project is usually a stronger version. STARLAB should reward students for redesigning unsafe or unrealistic ideas into responsible, evidence-generating research.</w:t>
            </w:r>
          </w:p>
        </w:tc>
        <w:trPr>
          <w:tblHeader/>
        </w:trPr>
      </w:tr>
    </w:tbl>
    <w:p>
      <w:pPr>
        <w:pStyle w:val="Heading1"/>
      </w:pPr>
      <w:r>
        <w:t>How to Use This Guide</w:t>
      </w:r>
    </w:p>
    <w:p>
      <w:pPr>
        <w:spacing w:before="40" w:after="120"/>
        <w:pBdr>
          <w:bottom w:val="single" w:sz="8" w:space="1" w:color="E31B23"/>
        </w:pBdr>
      </w:pPr>
    </w:p>
    <w:p>
      <w:pPr>
        <w:pStyle w:val="ListBullet"/>
      </w:pPr>
      <w:r>
        <w:t>Step 1: Identify the project type or types. Many projects are hybrids.</w:t>
      </w:r>
    </w:p>
    <w:p>
      <w:pPr>
        <w:pStyle w:val="ListBullet"/>
      </w:pPr>
      <w:r>
        <w:t>Step 2: Check the universal safety expectations that apply to all projects.</w:t>
      </w:r>
    </w:p>
    <w:p>
      <w:pPr>
        <w:pStyle w:val="ListBullet"/>
      </w:pPr>
      <w:r>
        <w:t>Step 3: Review the project-type section for likely risks, required controls, and approval triggers.</w:t>
      </w:r>
    </w:p>
    <w:p>
      <w:pPr>
        <w:pStyle w:val="ListBullet"/>
      </w:pPr>
      <w:r>
        <w:t>Step 4: Use the scope level to identify controls and review needs, then select the exact Project Approval Tracker status that applies.</w:t>
      </w:r>
    </w:p>
    <w:p>
      <w:pPr>
        <w:pStyle w:val="ListBullet"/>
      </w:pPr>
      <w:r>
        <w:t>Step 5: Record the decision in the tracker, complete required district forms, and require re-approval after material project changes.</w:t>
      </w:r>
    </w:p>
    <w:p>
      <w:pPr>
        <w:pStyle w:val="Heading1"/>
      </w:pPr>
      <w:r>
        <w:t>STARLAB Safety Scope Levels</w:t>
      </w:r>
    </w:p>
    <w:p>
      <w:pPr>
        <w:spacing w:before="40" w:after="120"/>
        <w:pBdr>
          <w:bottom w:val="single" w:sz="8" w:space="1" w:color="E31B23"/>
        </w:pBdr>
      </w:pP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456"/>
        <w:gridCol w:w="3456"/>
        <w:gridCol w:w="3456"/>
      </w:tblGrid>
      <w:tr>
        <w:tc>
          <w:tcPr>
            <w:tcW w:type="dxa" w:w="2016"/>
            <w:shd w:fill="E31B23"/>
            <w:vAlign w:val="top"/>
          </w:tcPr>
          <w:p>
            <w:pPr>
              <w:spacing w:after="0"/>
            </w:pPr>
            <w:r/>
            <w:r>
              <w:rPr>
                <w:b/>
                <w:color w:val="FFFFFF"/>
                <w:sz w:val="17"/>
              </w:rPr>
              <w:t>Level</w:t>
            </w:r>
          </w:p>
        </w:tc>
        <w:tc>
          <w:tcPr>
            <w:tcW w:type="dxa" w:w="5904"/>
            <w:shd w:fill="E31B23"/>
            <w:vAlign w:val="top"/>
          </w:tcPr>
          <w:p>
            <w:pPr>
              <w:spacing w:after="0"/>
            </w:pPr>
            <w:r/>
            <w:r>
              <w:rPr>
                <w:b/>
                <w:color w:val="FFFFFF"/>
                <w:sz w:val="17"/>
              </w:rPr>
              <w:t>Meaning</w:t>
            </w:r>
          </w:p>
        </w:tc>
        <w:tc>
          <w:tcPr>
            <w:tcW w:type="dxa" w:w="4608"/>
            <w:shd w:fill="E31B23"/>
            <w:vAlign w:val="top"/>
          </w:tcPr>
          <w:p>
            <w:pPr>
              <w:spacing w:after="0"/>
            </w:pPr>
            <w:r/>
            <w:r>
              <w:rPr>
                <w:b/>
                <w:color w:val="FFFFFF"/>
                <w:sz w:val="17"/>
              </w:rPr>
              <w:t>Typical Teacher Action</w:t>
            </w:r>
          </w:p>
        </w:tc>
        <w:trPr>
          <w:tblHeader/>
        </w:trPr>
      </w:tr>
      <w:tr>
        <w:tc>
          <w:tcPr>
            <w:tcW w:type="dxa" w:w="2016"/>
            <w:vAlign w:val="top"/>
            <w:shd w:fill="F2F2F2"/>
          </w:tcPr>
          <w:p>
            <w:pPr>
              <w:spacing w:after="0"/>
            </w:pPr>
            <w:r>
              <w:rPr>
                <w:b/>
              </w:rPr>
            </w:r>
            <w:r>
              <w:rPr>
                <w:b/>
                <w:color w:val="000000"/>
                <w:sz w:val="16"/>
              </w:rPr>
              <w:t>Level 0: Planning Only</w:t>
            </w:r>
          </w:p>
        </w:tc>
        <w:tc>
          <w:tcPr>
            <w:tcW w:type="dxa" w:w="5904"/>
            <w:vAlign w:val="top"/>
          </w:tcPr>
          <w:p>
            <w:pPr>
              <w:spacing w:after="0"/>
            </w:pPr>
            <w:r/>
            <w:r>
              <w:rPr>
                <w:b w:val="0"/>
                <w:color w:val="000000"/>
                <w:sz w:val="16"/>
              </w:rPr>
              <w:t>Student is researching, brainstorming, drafting, sketching, coding with non-sensitive sample data, or preparing a plan. No testing, building, data collection, or hazardous materials are involved.</w:t>
            </w:r>
          </w:p>
        </w:tc>
        <w:tc>
          <w:tcPr>
            <w:tcW w:type="dxa" w:w="4608"/>
            <w:vAlign w:val="top"/>
          </w:tcPr>
          <w:p>
            <w:pPr>
              <w:spacing w:after="0"/>
            </w:pPr>
            <w:r/>
            <w:r>
              <w:rPr>
                <w:b w:val="0"/>
                <w:color w:val="000000"/>
                <w:sz w:val="16"/>
              </w:rPr>
              <w:t>Allow planning work. No pilot testing until project approval is complete.</w:t>
            </w:r>
          </w:p>
        </w:tc>
      </w:tr>
      <w:tr>
        <w:tc>
          <w:tcPr>
            <w:tcW w:type="dxa" w:w="2016"/>
            <w:vAlign w:val="top"/>
            <w:shd w:fill="F2F2F2"/>
          </w:tcPr>
          <w:p>
            <w:pPr>
              <w:spacing w:after="0"/>
            </w:pPr>
            <w:r>
              <w:rPr>
                <w:b/>
              </w:rPr>
            </w:r>
            <w:r>
              <w:rPr>
                <w:b/>
                <w:color w:val="000000"/>
                <w:sz w:val="16"/>
              </w:rPr>
              <w:t>Level 1: Low-Risk Classroom Work</w:t>
            </w:r>
          </w:p>
        </w:tc>
        <w:tc>
          <w:tcPr>
            <w:tcW w:type="dxa" w:w="5904"/>
            <w:vAlign w:val="top"/>
          </w:tcPr>
          <w:p>
            <w:pPr>
              <w:spacing w:after="0"/>
            </w:pPr>
            <w:r/>
            <w:r>
              <w:rPr>
                <w:b w:val="0"/>
                <w:color w:val="000000"/>
                <w:sz w:val="16"/>
              </w:rPr>
              <w:t>Project uses ordinary classroom materials, low-energy systems, approved digital tools, or analysis of safe public data. Risks are minimal and manageable with normal classroom supervision.</w:t>
            </w:r>
          </w:p>
        </w:tc>
        <w:tc>
          <w:tcPr>
            <w:tcW w:type="dxa" w:w="4608"/>
            <w:vAlign w:val="top"/>
          </w:tcPr>
          <w:p>
            <w:pPr>
              <w:spacing w:after="0"/>
            </w:pPr>
            <w:r/>
            <w:r>
              <w:rPr>
                <w:b w:val="0"/>
                <w:color w:val="000000"/>
                <w:sz w:val="16"/>
              </w:rPr>
              <w:t>Approve for pilot testing after a basic safety check. Require documentation and clear procedures.</w:t>
            </w:r>
          </w:p>
        </w:tc>
      </w:tr>
      <w:tr>
        <w:tc>
          <w:tcPr>
            <w:tcW w:type="dxa" w:w="2016"/>
            <w:vAlign w:val="top"/>
            <w:shd w:fill="F2F2F2"/>
          </w:tcPr>
          <w:p>
            <w:pPr>
              <w:spacing w:after="0"/>
            </w:pPr>
            <w:r>
              <w:rPr>
                <w:b/>
              </w:rPr>
            </w:r>
            <w:r>
              <w:rPr>
                <w:b/>
                <w:color w:val="000000"/>
                <w:sz w:val="16"/>
              </w:rPr>
              <w:t>Level 2: Supervised Work Required</w:t>
            </w:r>
          </w:p>
        </w:tc>
        <w:tc>
          <w:tcPr>
            <w:tcW w:type="dxa" w:w="5904"/>
            <w:vAlign w:val="top"/>
          </w:tcPr>
          <w:p>
            <w:pPr>
              <w:spacing w:after="0"/>
            </w:pPr>
            <w:r/>
            <w:r>
              <w:rPr>
                <w:b w:val="0"/>
                <w:color w:val="000000"/>
                <w:sz w:val="16"/>
              </w:rPr>
              <w:t>Project uses tools, heat, electricity, moving parts, fabrication equipment, field sampling, non-sensitive human interaction, or other risks that require teacher supervision and clear controls.</w:t>
            </w:r>
          </w:p>
        </w:tc>
        <w:tc>
          <w:tcPr>
            <w:tcW w:type="dxa" w:w="4608"/>
            <w:vAlign w:val="top"/>
          </w:tcPr>
          <w:p>
            <w:pPr>
              <w:spacing w:after="0"/>
            </w:pPr>
            <w:r/>
            <w:r>
              <w:rPr>
                <w:b w:val="0"/>
                <w:color w:val="000000"/>
                <w:sz w:val="16"/>
              </w:rPr>
              <w:t>Approve only with defined supervision, PPE, training, workspace rules, and cleanup procedures.</w:t>
            </w:r>
          </w:p>
        </w:tc>
      </w:tr>
      <w:tr>
        <w:tc>
          <w:tcPr>
            <w:tcW w:type="dxa" w:w="2016"/>
            <w:vAlign w:val="top"/>
            <w:shd w:fill="F2F2F2"/>
          </w:tcPr>
          <w:p>
            <w:pPr>
              <w:spacing w:after="0"/>
            </w:pPr>
            <w:r>
              <w:rPr>
                <w:b/>
              </w:rPr>
            </w:r>
            <w:r>
              <w:rPr>
                <w:b/>
                <w:color w:val="000000"/>
                <w:sz w:val="16"/>
              </w:rPr>
              <w:t>Level 3: Additional Review Required</w:t>
            </w:r>
          </w:p>
        </w:tc>
        <w:tc>
          <w:tcPr>
            <w:tcW w:type="dxa" w:w="5904"/>
            <w:vAlign w:val="top"/>
          </w:tcPr>
          <w:p>
            <w:pPr>
              <w:spacing w:after="0"/>
            </w:pPr>
            <w:r/>
            <w:r>
              <w:rPr>
                <w:b w:val="0"/>
                <w:color w:val="000000"/>
                <w:sz w:val="16"/>
              </w:rPr>
              <w:t>Project may involve human participants, private data, biological materials, chemicals, lasers, drones, high heat, pressure, environmental release, mentor lab equipment, or district policy concerns.</w:t>
            </w:r>
          </w:p>
        </w:tc>
        <w:tc>
          <w:tcPr>
            <w:tcW w:type="dxa" w:w="4608"/>
            <w:vAlign w:val="top"/>
          </w:tcPr>
          <w:p>
            <w:pPr>
              <w:spacing w:after="0"/>
            </w:pPr>
            <w:r/>
            <w:r>
              <w:rPr>
                <w:b w:val="0"/>
                <w:color w:val="000000"/>
                <w:sz w:val="16"/>
              </w:rPr>
              <w:t>Pause testing. Require teacher plus administrator, safety officer, mentor, IRB/SRC-style, district, or parent/guardian review as appropriate.</w:t>
            </w:r>
          </w:p>
        </w:tc>
      </w:tr>
      <w:tr>
        <w:tc>
          <w:tcPr>
            <w:tcW w:type="dxa" w:w="2016"/>
            <w:vAlign w:val="top"/>
            <w:shd w:fill="F2F2F2"/>
          </w:tcPr>
          <w:p>
            <w:pPr>
              <w:spacing w:after="0"/>
            </w:pPr>
            <w:r>
              <w:rPr>
                <w:b/>
              </w:rPr>
            </w:r>
            <w:r>
              <w:rPr>
                <w:b/>
                <w:color w:val="000000"/>
                <w:sz w:val="16"/>
              </w:rPr>
              <w:t>Level 4: Not Approved in Current Form</w:t>
            </w:r>
          </w:p>
        </w:tc>
        <w:tc>
          <w:tcPr>
            <w:tcW w:type="dxa" w:w="5904"/>
            <w:vAlign w:val="top"/>
          </w:tcPr>
          <w:p>
            <w:pPr>
              <w:spacing w:after="0"/>
            </w:pPr>
            <w:r/>
            <w:r>
              <w:rPr>
                <w:b w:val="0"/>
                <w:color w:val="000000"/>
                <w:sz w:val="16"/>
              </w:rPr>
              <w:t>Project creates unacceptable risk, requires restricted materials or procedures, involves prohibited human/animal/medical claims, or cannot be supervised responsibly in the available setting.</w:t>
            </w:r>
          </w:p>
        </w:tc>
        <w:tc>
          <w:tcPr>
            <w:tcW w:type="dxa" w:w="4608"/>
            <w:vAlign w:val="top"/>
          </w:tcPr>
          <w:p>
            <w:pPr>
              <w:spacing w:after="0"/>
            </w:pPr>
            <w:r/>
            <w:r>
              <w:rPr>
                <w:b w:val="0"/>
                <w:color w:val="000000"/>
                <w:sz w:val="16"/>
              </w:rPr>
              <w:t>Redirect to a safer model, simulation, public dataset, literature-based analysis, approved demonstration, or design-only feasibility study.</w:t>
            </w:r>
          </w:p>
        </w:tc>
      </w:tr>
    </w:tbl>
    <w:p/>
    <w:p>
      <w:pPr>
        <w:pStyle w:val="Heading1"/>
      </w:pPr>
      <w:r>
        <w:t>Universal Safety Expectations for All STARLAB Projects</w:t>
      </w:r>
    </w:p>
    <w:p>
      <w:pPr>
        <w:spacing w:before="40" w:after="120"/>
        <w:pBdr>
          <w:bottom w:val="single" w:sz="8" w:space="1" w:color="E31B23"/>
        </w:pBdr>
      </w:pPr>
    </w:p>
    <w:p>
      <w:pPr>
        <w:pStyle w:val="ListBullet"/>
      </w:pPr>
      <w:r>
        <w:t>No testing begins without teacher approval.</w:t>
      </w:r>
    </w:p>
    <w:p>
      <w:pPr>
        <w:pStyle w:val="ListBullet"/>
      </w:pPr>
      <w:r>
        <w:t>Students must describe the method clearly enough for an adult to evaluate safety before work begins.</w:t>
      </w:r>
    </w:p>
    <w:p>
      <w:pPr>
        <w:pStyle w:val="ListBullet"/>
      </w:pPr>
      <w:r>
        <w:t>Students must identify materials, equipment, data sources, supervision needs, PPE, storage, disposal, and cleanup expectations.</w:t>
      </w:r>
    </w:p>
    <w:p>
      <w:pPr>
        <w:pStyle w:val="ListBullet"/>
      </w:pPr>
      <w:r>
        <w:t>Students must preserve raw data and document problems, failures, and revisions honestly.</w:t>
      </w:r>
    </w:p>
    <w:p>
      <w:pPr>
        <w:pStyle w:val="ListBullet"/>
      </w:pPr>
      <w:r>
        <w:t>Students may not bring outside chemicals, biological materials, organisms, tools, electronics, food testing materials, or field samples into the classroom without approval.</w:t>
      </w:r>
    </w:p>
    <w:p>
      <w:pPr>
        <w:pStyle w:val="ListBullet"/>
      </w:pPr>
      <w:r>
        <w:t>Students may not collect information from people, record people, test people, survey people, or use private data without prior approval.</w:t>
      </w:r>
    </w:p>
    <w:p>
      <w:pPr>
        <w:pStyle w:val="ListBullet"/>
      </w:pPr>
      <w:r>
        <w:t>Students must stop work and notify the teacher if a new hazard appears or if the method changes.</w:t>
      </w:r>
    </w:p>
    <w:p>
      <w:pPr>
        <w:pStyle w:val="Heading1"/>
      </w:pPr>
      <w:r>
        <w:t>Universal Red Flags</w:t>
      </w:r>
    </w:p>
    <w:p>
      <w:pPr>
        <w:spacing w:before="40" w:after="120"/>
        <w:pBdr>
          <w:bottom w:val="single" w:sz="8" w:space="1" w:color="E31B23"/>
        </w:pBdr>
      </w:pP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184"/>
        <w:gridCol w:w="5184"/>
      </w:tblGrid>
      <w:tr>
        <w:tc>
          <w:tcPr>
            <w:tcW w:type="dxa" w:w="4464"/>
            <w:shd w:fill="E31B23"/>
            <w:vAlign w:val="top"/>
          </w:tcPr>
          <w:p>
            <w:pPr>
              <w:spacing w:after="0"/>
            </w:pPr>
            <w:r/>
            <w:r>
              <w:rPr>
                <w:b/>
                <w:color w:val="FFFFFF"/>
                <w:sz w:val="17"/>
              </w:rPr>
              <w:t>Red Flag</w:t>
            </w:r>
          </w:p>
        </w:tc>
        <w:tc>
          <w:tcPr>
            <w:tcW w:type="dxa" w:w="8064"/>
            <w:shd w:fill="E31B23"/>
            <w:vAlign w:val="top"/>
          </w:tcPr>
          <w:p>
            <w:pPr>
              <w:spacing w:after="0"/>
            </w:pPr>
            <w:r/>
            <w:r>
              <w:rPr>
                <w:b/>
                <w:color w:val="FFFFFF"/>
                <w:sz w:val="17"/>
              </w:rPr>
              <w:t>Teacher Response</w:t>
            </w:r>
          </w:p>
        </w:tc>
        <w:trPr>
          <w:tblHeader/>
        </w:trPr>
      </w:tr>
      <w:tr>
        <w:tc>
          <w:tcPr>
            <w:tcW w:type="dxa" w:w="4464"/>
            <w:vAlign w:val="top"/>
            <w:shd w:fill="F2F2F2"/>
          </w:tcPr>
          <w:p>
            <w:pPr>
              <w:spacing w:after="0"/>
            </w:pPr>
            <w:r>
              <w:rPr>
                <w:b/>
              </w:rPr>
            </w:r>
            <w:r>
              <w:rPr>
                <w:b/>
                <w:color w:val="000000"/>
                <w:sz w:val="16"/>
              </w:rPr>
              <w:t>The student says, “I already started testing at home.”</w:t>
            </w:r>
          </w:p>
        </w:tc>
        <w:tc>
          <w:tcPr>
            <w:tcW w:type="dxa" w:w="8064"/>
            <w:vAlign w:val="top"/>
          </w:tcPr>
          <w:p>
            <w:pPr>
              <w:spacing w:after="0"/>
            </w:pPr>
            <w:r/>
            <w:r>
              <w:rPr>
                <w:b w:val="0"/>
                <w:color w:val="000000"/>
                <w:sz w:val="16"/>
              </w:rPr>
              <w:t>Pause. Determine what was done, whether safety rules were violated, and whether any data can be used ethically. Require a revised plan before further testing.</w:t>
            </w:r>
          </w:p>
        </w:tc>
      </w:tr>
      <w:tr>
        <w:tc>
          <w:tcPr>
            <w:tcW w:type="dxa" w:w="4464"/>
            <w:vAlign w:val="top"/>
            <w:shd w:fill="F2F2F2"/>
          </w:tcPr>
          <w:p>
            <w:pPr>
              <w:spacing w:after="0"/>
            </w:pPr>
            <w:r>
              <w:rPr>
                <w:b/>
              </w:rPr>
            </w:r>
            <w:r>
              <w:rPr>
                <w:b/>
                <w:color w:val="000000"/>
                <w:sz w:val="16"/>
              </w:rPr>
              <w:t>The project involves people, surveys, health data, performance data, interviews, or video/audio recording.</w:t>
            </w:r>
          </w:p>
        </w:tc>
        <w:tc>
          <w:tcPr>
            <w:tcW w:type="dxa" w:w="8064"/>
            <w:vAlign w:val="top"/>
          </w:tcPr>
          <w:p>
            <w:pPr>
              <w:spacing w:after="0"/>
            </w:pPr>
            <w:r/>
            <w:r>
              <w:rPr>
                <w:b w:val="0"/>
                <w:color w:val="000000"/>
                <w:sz w:val="16"/>
              </w:rPr>
              <w:t>Do not allow collection until ethics, consent, privacy, and district expectations are reviewed.</w:t>
            </w:r>
          </w:p>
        </w:tc>
      </w:tr>
      <w:tr>
        <w:tc>
          <w:tcPr>
            <w:tcW w:type="dxa" w:w="4464"/>
            <w:vAlign w:val="top"/>
            <w:shd w:fill="F2F2F2"/>
          </w:tcPr>
          <w:p>
            <w:pPr>
              <w:spacing w:after="0"/>
            </w:pPr>
            <w:r>
              <w:rPr>
                <w:b/>
              </w:rPr>
            </w:r>
            <w:r>
              <w:rPr>
                <w:b/>
                <w:color w:val="000000"/>
                <w:sz w:val="16"/>
              </w:rPr>
              <w:t>The project involves animals, animal behavior, pets, or habitats.</w:t>
            </w:r>
          </w:p>
        </w:tc>
        <w:tc>
          <w:tcPr>
            <w:tcW w:type="dxa" w:w="8064"/>
            <w:vAlign w:val="top"/>
          </w:tcPr>
          <w:p>
            <w:pPr>
              <w:spacing w:after="0"/>
            </w:pPr>
            <w:r/>
            <w:r>
              <w:rPr>
                <w:b w:val="0"/>
                <w:color w:val="000000"/>
                <w:sz w:val="16"/>
              </w:rPr>
              <w:t>Pause and review restrictions. Redirect to observation-only, public data, simulations, or non-animal alternatives when appropriate.</w:t>
            </w:r>
          </w:p>
        </w:tc>
      </w:tr>
      <w:tr>
        <w:tc>
          <w:tcPr>
            <w:tcW w:type="dxa" w:w="4464"/>
            <w:vAlign w:val="top"/>
            <w:shd w:fill="F2F2F2"/>
          </w:tcPr>
          <w:p>
            <w:pPr>
              <w:spacing w:after="0"/>
            </w:pPr>
            <w:r>
              <w:rPr>
                <w:b/>
              </w:rPr>
            </w:r>
            <w:r>
              <w:rPr>
                <w:b/>
                <w:color w:val="000000"/>
                <w:sz w:val="16"/>
              </w:rPr>
              <w:t>The project involves bacterial growth, mold, bodily fluids, unknown biological samples, or environmental microorganisms.</w:t>
            </w:r>
          </w:p>
        </w:tc>
        <w:tc>
          <w:tcPr>
            <w:tcW w:type="dxa" w:w="8064"/>
            <w:vAlign w:val="top"/>
          </w:tcPr>
          <w:p>
            <w:pPr>
              <w:spacing w:after="0"/>
            </w:pPr>
            <w:r/>
            <w:r>
              <w:rPr>
                <w:b w:val="0"/>
                <w:color w:val="000000"/>
                <w:sz w:val="16"/>
              </w:rPr>
              <w:t>Require additional review. Many school settings should avoid culturing unknown organisms.</w:t>
            </w:r>
          </w:p>
        </w:tc>
      </w:tr>
      <w:tr>
        <w:tc>
          <w:tcPr>
            <w:tcW w:type="dxa" w:w="4464"/>
            <w:vAlign w:val="top"/>
            <w:shd w:fill="F2F2F2"/>
          </w:tcPr>
          <w:p>
            <w:pPr>
              <w:spacing w:after="0"/>
            </w:pPr>
            <w:r>
              <w:rPr>
                <w:b/>
              </w:rPr>
            </w:r>
            <w:r>
              <w:rPr>
                <w:b/>
                <w:color w:val="000000"/>
                <w:sz w:val="16"/>
              </w:rPr>
              <w:t>The project involves ingestion, supplements, medical claims, diagnosis, treatment, or testing a product on people.</w:t>
            </w:r>
          </w:p>
        </w:tc>
        <w:tc>
          <w:tcPr>
            <w:tcW w:type="dxa" w:w="8064"/>
            <w:vAlign w:val="top"/>
          </w:tcPr>
          <w:p>
            <w:pPr>
              <w:spacing w:after="0"/>
            </w:pPr>
            <w:r/>
            <w:r>
              <w:rPr>
                <w:b w:val="0"/>
                <w:color w:val="000000"/>
                <w:sz w:val="16"/>
              </w:rPr>
              <w:t>Do not approve in current form without formal review. Redirect to non-human, public-data, or design-focused alternatives.</w:t>
            </w:r>
          </w:p>
        </w:tc>
      </w:tr>
      <w:tr>
        <w:tc>
          <w:tcPr>
            <w:tcW w:type="dxa" w:w="4464"/>
            <w:vAlign w:val="top"/>
            <w:shd w:fill="F2F2F2"/>
          </w:tcPr>
          <w:p>
            <w:pPr>
              <w:spacing w:after="0"/>
            </w:pPr>
            <w:r>
              <w:rPr>
                <w:b/>
              </w:rPr>
            </w:r>
            <w:r>
              <w:rPr>
                <w:b/>
                <w:color w:val="000000"/>
                <w:sz w:val="16"/>
              </w:rPr>
              <w:t>The project involves flames, high voltage, pressure vessels, projectiles, drones, fast-moving parts, power tools, lasers, or heavy loads.</w:t>
            </w:r>
          </w:p>
        </w:tc>
        <w:tc>
          <w:tcPr>
            <w:tcW w:type="dxa" w:w="8064"/>
            <w:vAlign w:val="top"/>
          </w:tcPr>
          <w:p>
            <w:pPr>
              <w:spacing w:after="0"/>
            </w:pPr>
            <w:r/>
            <w:r>
              <w:rPr>
                <w:b w:val="0"/>
                <w:color w:val="000000"/>
                <w:sz w:val="16"/>
              </w:rPr>
              <w:t>Require supervision, training, guards, PPE, and a written safety plan. Some versions may not be appropriate.</w:t>
            </w:r>
          </w:p>
        </w:tc>
      </w:tr>
      <w:tr>
        <w:tc>
          <w:tcPr>
            <w:tcW w:type="dxa" w:w="4464"/>
            <w:vAlign w:val="top"/>
            <w:shd w:fill="F2F2F2"/>
          </w:tcPr>
          <w:p>
            <w:pPr>
              <w:spacing w:after="0"/>
            </w:pPr>
            <w:r>
              <w:rPr>
                <w:b/>
              </w:rPr>
            </w:r>
            <w:r>
              <w:rPr>
                <w:b/>
                <w:color w:val="000000"/>
                <w:sz w:val="16"/>
              </w:rPr>
              <w:t>The project requires materials or equipment the teacher cannot supervise safely.</w:t>
            </w:r>
          </w:p>
        </w:tc>
        <w:tc>
          <w:tcPr>
            <w:tcW w:type="dxa" w:w="8064"/>
            <w:vAlign w:val="top"/>
          </w:tcPr>
          <w:p>
            <w:pPr>
              <w:spacing w:after="0"/>
            </w:pPr>
            <w:r/>
            <w:r>
              <w:rPr>
                <w:b w:val="0"/>
                <w:color w:val="000000"/>
                <w:sz w:val="16"/>
              </w:rPr>
              <w:t>Do not approve classroom testing. Consider mentor-site approval or redesign.</w:t>
            </w:r>
          </w:p>
        </w:tc>
      </w:tr>
    </w:tbl>
    <w:p/>
    <w:p>
      <w:pPr>
        <w:pStyle w:val="Heading1"/>
      </w:pPr>
      <w:r>
        <w:t>Project-Type Safety Scope Guide</w:t>
      </w:r>
    </w:p>
    <w:p>
      <w:pPr>
        <w:spacing w:before="40" w:after="120"/>
        <w:pBdr>
          <w:bottom w:val="single" w:sz="8" w:space="1" w:color="E31B23"/>
        </w:pBdr>
      </w:pPr>
    </w:p>
    <w:p>
      <w:r>
        <w:t>Use the following sections to screen common STARLAB project types. If a project fits more than one category, use the most restrictive category when assigning approval status.</w:t>
      </w:r>
    </w:p>
    <w:p>
      <w:pPr>
        <w:pStyle w:val="Heading2"/>
      </w:pPr>
      <w:r>
        <w:t>Controlled Experiments with Everyday Materials</w:t>
      </w:r>
    </w:p>
    <w:p>
      <w:r>
        <w:t>Examples include paper towel absorbency, insulation comparisons, plant growth with approved materials, simple motion experiments, and approved classroom chemistry demonstrations using safe materials.</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456"/>
        <w:gridCol w:w="3456"/>
        <w:gridCol w:w="3456"/>
      </w:tblGrid>
      <w:tr>
        <w:tc>
          <w:tcPr>
            <w:tcW w:type="dxa" w:w="4464"/>
            <w:shd w:fill="111111"/>
            <w:vAlign w:val="top"/>
          </w:tcPr>
          <w:p>
            <w:pPr>
              <w:spacing w:after="0" w:before="0" w:line="240" w:lineRule="auto"/>
            </w:pPr>
            <w:r>
              <w:rPr>
                <w:sz w:val="16"/>
              </w:rPr>
            </w:r>
            <w:r>
              <w:rPr>
                <w:b/>
                <w:color w:val="FFFFFF"/>
                <w:sz w:val="16"/>
              </w:rPr>
              <w:t>Teacher Should Require</w:t>
            </w:r>
          </w:p>
        </w:tc>
        <w:tc>
          <w:tcPr>
            <w:tcW w:type="dxa" w:w="4464"/>
            <w:shd w:fill="111111"/>
            <w:vAlign w:val="top"/>
          </w:tcPr>
          <w:p>
            <w:pPr>
              <w:spacing w:after="0" w:before="0" w:line="240" w:lineRule="auto"/>
            </w:pPr>
            <w:r>
              <w:rPr>
                <w:sz w:val="16"/>
              </w:rPr>
            </w:r>
            <w:r>
              <w:rPr>
                <w:b/>
                <w:color w:val="FFFFFF"/>
                <w:sz w:val="16"/>
              </w:rPr>
              <w:t>Pause / Red Flag If</w:t>
            </w:r>
          </w:p>
        </w:tc>
        <w:tc>
          <w:tcPr>
            <w:tcW w:type="dxa" w:w="3600"/>
            <w:shd w:fill="111111"/>
            <w:vAlign w:val="top"/>
          </w:tcPr>
          <w:p>
            <w:pPr>
              <w:spacing w:after="0" w:before="0" w:line="240" w:lineRule="auto"/>
            </w:pPr>
            <w:r>
              <w:rPr>
                <w:sz w:val="16"/>
              </w:rPr>
            </w:r>
            <w:r>
              <w:rPr>
                <w:b/>
                <w:color w:val="FFFFFF"/>
                <w:sz w:val="16"/>
              </w:rPr>
              <w:t>Typical Scope Level</w:t>
            </w:r>
          </w:p>
        </w:tc>
        <w:trPr>
          <w:tblHeader/>
        </w:trPr>
      </w:tr>
      <w:tr>
        <w:tc>
          <w:tcPr>
            <w:tcW w:type="dxa" w:w="4464"/>
            <w:vAlign w:val="top"/>
            <w:shd w:fill="F2F2F2"/>
          </w:tcPr>
          <w:p>
            <w:pPr>
              <w:spacing w:after="0" w:before="0" w:line="240" w:lineRule="auto"/>
            </w:pPr>
            <w:r>
              <w:rPr>
                <w:b/>
                <w:sz w:val="15"/>
              </w:rPr>
            </w:r>
            <w:r>
              <w:rPr>
                <w:b/>
                <w:color w:val="000000"/>
                <w:sz w:val="15"/>
              </w:rPr>
              <w:t>• Keep quantities small.</w:t>
              <w:br/>
              <w:t>• Use known, school-approved materials only.</w:t>
              <w:br/>
              <w:t>• Require a clear procedure and cleanup plan.</w:t>
              <w:br/>
              <w:t>• Use eye protection when spills, splashes, projectiles, heat, dust, or breakage are possible.</w:t>
            </w:r>
          </w:p>
        </w:tc>
        <w:tc>
          <w:tcPr>
            <w:tcW w:type="dxa" w:w="4464"/>
            <w:vAlign w:val="top"/>
          </w:tcPr>
          <w:p>
            <w:pPr>
              <w:spacing w:after="0" w:before="0" w:line="240" w:lineRule="auto"/>
            </w:pPr>
            <w:r>
              <w:rPr>
                <w:sz w:val="15"/>
              </w:rPr>
            </w:r>
            <w:r>
              <w:rPr>
                <w:b w:val="0"/>
                <w:color w:val="000000"/>
                <w:sz w:val="15"/>
              </w:rPr>
              <w:t>• Unknown chemicals or mixtures</w:t>
              <w:br/>
              <w:t>• Food or drink ingestion</w:t>
              <w:br/>
              <w:t>• Testing products on people</w:t>
              <w:br/>
              <w:t>• Using heat, flame, or electricity without supervision</w:t>
            </w:r>
          </w:p>
        </w:tc>
        <w:tc>
          <w:tcPr>
            <w:tcW w:type="dxa" w:w="3600"/>
            <w:vAlign w:val="top"/>
          </w:tcPr>
          <w:p>
            <w:pPr>
              <w:spacing w:after="0" w:before="0" w:line="240" w:lineRule="auto"/>
            </w:pPr>
            <w:r>
              <w:rPr>
                <w:sz w:val="15"/>
              </w:rPr>
            </w:r>
            <w:r>
              <w:rPr>
                <w:b w:val="0"/>
                <w:color w:val="000000"/>
                <w:sz w:val="15"/>
              </w:rPr>
              <w:t>Usually Level 1. Move to Level 2 or 3 if tools, heat, chemicals, biological materials, or human participants are involved.</w:t>
            </w:r>
          </w:p>
        </w:tc>
      </w:tr>
    </w:tbl>
    <w:p/>
    <w:p>
      <w:pPr>
        <w:pStyle w:val="Heading2"/>
      </w:pPr>
      <w:r>
        <w:t>Plant Growth and Agriculture Projects</w:t>
      </w:r>
    </w:p>
    <w:p>
      <w:r>
        <w:t>Examples include seed germination, light conditions, soil type, fertilizer concentration, hydroponic setup comparisons, or plant response to approved environmental conditions.</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456"/>
        <w:gridCol w:w="3456"/>
        <w:gridCol w:w="3456"/>
      </w:tblGrid>
      <w:tr>
        <w:tc>
          <w:tcPr>
            <w:tcW w:type="dxa" w:w="4464"/>
            <w:shd w:fill="111111"/>
            <w:vAlign w:val="top"/>
          </w:tcPr>
          <w:p>
            <w:pPr>
              <w:spacing w:after="0" w:before="0" w:line="240" w:lineRule="auto"/>
            </w:pPr>
            <w:r>
              <w:rPr>
                <w:sz w:val="16"/>
              </w:rPr>
            </w:r>
            <w:r>
              <w:rPr>
                <w:b/>
                <w:color w:val="FFFFFF"/>
                <w:sz w:val="16"/>
              </w:rPr>
              <w:t>Teacher Should Require</w:t>
            </w:r>
          </w:p>
        </w:tc>
        <w:tc>
          <w:tcPr>
            <w:tcW w:type="dxa" w:w="4464"/>
            <w:shd w:fill="111111"/>
            <w:vAlign w:val="top"/>
          </w:tcPr>
          <w:p>
            <w:pPr>
              <w:spacing w:after="0" w:before="0" w:line="240" w:lineRule="auto"/>
            </w:pPr>
            <w:r>
              <w:rPr>
                <w:sz w:val="16"/>
              </w:rPr>
            </w:r>
            <w:r>
              <w:rPr>
                <w:b/>
                <w:color w:val="FFFFFF"/>
                <w:sz w:val="16"/>
              </w:rPr>
              <w:t>Pause / Red Flag If</w:t>
            </w:r>
          </w:p>
        </w:tc>
        <w:tc>
          <w:tcPr>
            <w:tcW w:type="dxa" w:w="3600"/>
            <w:shd w:fill="111111"/>
            <w:vAlign w:val="top"/>
          </w:tcPr>
          <w:p>
            <w:pPr>
              <w:spacing w:after="0" w:before="0" w:line="240" w:lineRule="auto"/>
            </w:pPr>
            <w:r>
              <w:rPr>
                <w:sz w:val="16"/>
              </w:rPr>
            </w:r>
            <w:r>
              <w:rPr>
                <w:b/>
                <w:color w:val="FFFFFF"/>
                <w:sz w:val="16"/>
              </w:rPr>
              <w:t>Typical Scope Level</w:t>
            </w:r>
          </w:p>
        </w:tc>
        <w:trPr>
          <w:tblHeader/>
        </w:trPr>
      </w:tr>
      <w:tr>
        <w:tc>
          <w:tcPr>
            <w:tcW w:type="dxa" w:w="4464"/>
            <w:vAlign w:val="top"/>
            <w:shd w:fill="F2F2F2"/>
          </w:tcPr>
          <w:p>
            <w:pPr>
              <w:spacing w:after="0" w:before="0" w:line="240" w:lineRule="auto"/>
            </w:pPr>
            <w:r>
              <w:rPr>
                <w:b/>
                <w:sz w:val="15"/>
              </w:rPr>
            </w:r>
            <w:r>
              <w:rPr>
                <w:b/>
                <w:color w:val="000000"/>
                <w:sz w:val="15"/>
              </w:rPr>
              <w:t>• Use safe, labeled, non-toxic materials.</w:t>
              <w:br/>
              <w:t>• Avoid pesticides, herbicides, unknown soil contaminants, or uncontrolled biological growth.</w:t>
              <w:br/>
              <w:t>• Control water, light, containers, soil, and measurement schedule.</w:t>
              <w:br/>
              <w:t>• Plan for cleanup, mold prevention, and disposal.</w:t>
            </w:r>
          </w:p>
        </w:tc>
        <w:tc>
          <w:tcPr>
            <w:tcW w:type="dxa" w:w="4464"/>
            <w:vAlign w:val="top"/>
          </w:tcPr>
          <w:p>
            <w:pPr>
              <w:spacing w:after="0" w:before="0" w:line="240" w:lineRule="auto"/>
            </w:pPr>
            <w:r>
              <w:rPr>
                <w:sz w:val="15"/>
              </w:rPr>
            </w:r>
            <w:r>
              <w:rPr>
                <w:b w:val="0"/>
                <w:color w:val="000000"/>
                <w:sz w:val="15"/>
              </w:rPr>
              <w:t>• Using hazardous fertilizers or pesticides</w:t>
              <w:br/>
              <w:t>• Growing mold or unknown microorganisms intentionally</w:t>
              <w:br/>
              <w:t>• Environmental release of treated plants or soil</w:t>
              <w:br/>
              <w:t>• Projects requiring long timelines beyond the course window</w:t>
            </w:r>
          </w:p>
        </w:tc>
        <w:tc>
          <w:tcPr>
            <w:tcW w:type="dxa" w:w="3600"/>
            <w:vAlign w:val="top"/>
          </w:tcPr>
          <w:p>
            <w:pPr>
              <w:spacing w:after="0" w:before="0" w:line="240" w:lineRule="auto"/>
            </w:pPr>
            <w:r>
              <w:rPr>
                <w:sz w:val="15"/>
              </w:rPr>
            </w:r>
            <w:r>
              <w:rPr>
                <w:b w:val="0"/>
                <w:color w:val="000000"/>
                <w:sz w:val="15"/>
              </w:rPr>
              <w:t>Usually Level 1. Move to Level 2 if electrical grow lights, pumps, heaters, or field sampling are used. Move to Level 3 for chemicals, environmental sampling, or biological concerns.</w:t>
            </w:r>
          </w:p>
        </w:tc>
      </w:tr>
    </w:tbl>
    <w:p/>
    <w:p>
      <w:pPr>
        <w:pStyle w:val="Heading2"/>
      </w:pPr>
      <w:r>
        <w:t>Engineering Design, Prototypes, and 3D Printing</w:t>
      </w:r>
    </w:p>
    <w:p>
      <w:r>
        <w:t>Examples include bridges, turbine blades, assistive devices, water filters, robotics fixtures, model structures, and prototype comparisons.</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456"/>
        <w:gridCol w:w="3456"/>
        <w:gridCol w:w="3456"/>
      </w:tblGrid>
      <w:tr>
        <w:tc>
          <w:tcPr>
            <w:tcW w:type="dxa" w:w="4464"/>
            <w:shd w:fill="111111"/>
            <w:vAlign w:val="top"/>
          </w:tcPr>
          <w:p>
            <w:pPr>
              <w:spacing w:after="0" w:before="0" w:line="240" w:lineRule="auto"/>
            </w:pPr>
            <w:r>
              <w:rPr>
                <w:sz w:val="16"/>
              </w:rPr>
            </w:r>
            <w:r>
              <w:rPr>
                <w:b/>
                <w:color w:val="FFFFFF"/>
                <w:sz w:val="16"/>
              </w:rPr>
              <w:t>Teacher Should Require</w:t>
            </w:r>
          </w:p>
        </w:tc>
        <w:tc>
          <w:tcPr>
            <w:tcW w:type="dxa" w:w="4464"/>
            <w:shd w:fill="111111"/>
            <w:vAlign w:val="top"/>
          </w:tcPr>
          <w:p>
            <w:pPr>
              <w:spacing w:after="0" w:before="0" w:line="240" w:lineRule="auto"/>
            </w:pPr>
            <w:r>
              <w:rPr>
                <w:sz w:val="16"/>
              </w:rPr>
            </w:r>
            <w:r>
              <w:rPr>
                <w:b/>
                <w:color w:val="FFFFFF"/>
                <w:sz w:val="16"/>
              </w:rPr>
              <w:t>Pause / Red Flag If</w:t>
            </w:r>
          </w:p>
        </w:tc>
        <w:tc>
          <w:tcPr>
            <w:tcW w:type="dxa" w:w="3600"/>
            <w:shd w:fill="111111"/>
            <w:vAlign w:val="top"/>
          </w:tcPr>
          <w:p>
            <w:pPr>
              <w:spacing w:after="0" w:before="0" w:line="240" w:lineRule="auto"/>
            </w:pPr>
            <w:r>
              <w:rPr>
                <w:sz w:val="16"/>
              </w:rPr>
            </w:r>
            <w:r>
              <w:rPr>
                <w:b/>
                <w:color w:val="FFFFFF"/>
                <w:sz w:val="16"/>
              </w:rPr>
              <w:t>Typical Scope Level</w:t>
            </w:r>
          </w:p>
        </w:tc>
        <w:trPr>
          <w:tblHeader/>
        </w:trPr>
      </w:tr>
      <w:tr>
        <w:tc>
          <w:tcPr>
            <w:tcW w:type="dxa" w:w="4464"/>
            <w:vAlign w:val="top"/>
            <w:shd w:fill="F2F2F2"/>
          </w:tcPr>
          <w:p>
            <w:pPr>
              <w:spacing w:after="0" w:before="0" w:line="240" w:lineRule="auto"/>
            </w:pPr>
            <w:r>
              <w:rPr>
                <w:b/>
                <w:sz w:val="15"/>
              </w:rPr>
            </w:r>
            <w:r>
              <w:rPr>
                <w:b/>
                <w:color w:val="000000"/>
                <w:sz w:val="15"/>
              </w:rPr>
              <w:t>• Define criteria, constraints, and failure conditions before testing.</w:t>
              <w:br/>
              <w:t>• Use eye protection for load tests, snap failures, cutting, sanding, or tool use.</w:t>
              <w:br/>
              <w:t>• Keep hands clear of loading zones and moving parts.</w:t>
              <w:br/>
              <w:t>• Document prototype failure as data.</w:t>
              <w:br/>
              <w:t>• Follow all fabrication equipment rules.</w:t>
            </w:r>
          </w:p>
        </w:tc>
        <w:tc>
          <w:tcPr>
            <w:tcW w:type="dxa" w:w="4464"/>
            <w:vAlign w:val="top"/>
          </w:tcPr>
          <w:p>
            <w:pPr>
              <w:spacing w:after="0" w:before="0" w:line="240" w:lineRule="auto"/>
            </w:pPr>
            <w:r>
              <w:rPr>
                <w:sz w:val="15"/>
              </w:rPr>
            </w:r>
            <w:r>
              <w:rPr>
                <w:b w:val="0"/>
                <w:color w:val="000000"/>
                <w:sz w:val="15"/>
              </w:rPr>
              <w:t>• Power tools without training</w:t>
              <w:br/>
              <w:t>• High-speed projectiles</w:t>
              <w:br/>
              <w:t>• Heavy loads without shielding</w:t>
              <w:br/>
              <w:t>• Sharp or brittle failure hazards</w:t>
              <w:br/>
              <w:t>• Unventilated melting, heating, sanding, or unknown fumes</w:t>
            </w:r>
          </w:p>
        </w:tc>
        <w:tc>
          <w:tcPr>
            <w:tcW w:type="dxa" w:w="3600"/>
            <w:vAlign w:val="top"/>
          </w:tcPr>
          <w:p>
            <w:pPr>
              <w:spacing w:after="0" w:before="0" w:line="240" w:lineRule="auto"/>
            </w:pPr>
            <w:r>
              <w:rPr>
                <w:sz w:val="15"/>
              </w:rPr>
            </w:r>
            <w:r>
              <w:rPr>
                <w:b w:val="0"/>
                <w:color w:val="000000"/>
                <w:sz w:val="15"/>
              </w:rPr>
              <w:t>Often Level 1 to 2. Move to Level 3 if power tools, high loads, moving machinery, electricity, heat, drones, or mentor-site equipment are involved.</w:t>
            </w:r>
          </w:p>
        </w:tc>
      </w:tr>
    </w:tbl>
    <w:p/>
    <w:p>
      <w:pPr>
        <w:pStyle w:val="Heading2"/>
      </w:pPr>
      <w:r>
        <w:t>Robotics, Drones, Motors, and Moving Parts</w:t>
      </w:r>
    </w:p>
    <w:p>
      <w:r>
        <w:t>Examples include line-following robots, Tello EDU drone projects, landing target detection, motorized prototypes, automated measuring systems, and small mechanical devices.</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456"/>
        <w:gridCol w:w="3456"/>
        <w:gridCol w:w="3456"/>
      </w:tblGrid>
      <w:tr>
        <w:tc>
          <w:tcPr>
            <w:tcW w:type="dxa" w:w="4464"/>
            <w:shd w:fill="111111"/>
            <w:vAlign w:val="top"/>
          </w:tcPr>
          <w:p>
            <w:pPr>
              <w:spacing w:after="0" w:before="0" w:line="240" w:lineRule="auto"/>
            </w:pPr>
            <w:r>
              <w:rPr>
                <w:sz w:val="16"/>
              </w:rPr>
            </w:r>
            <w:r>
              <w:rPr>
                <w:b/>
                <w:color w:val="FFFFFF"/>
                <w:sz w:val="16"/>
              </w:rPr>
              <w:t>Teacher Should Require</w:t>
            </w:r>
          </w:p>
        </w:tc>
        <w:tc>
          <w:tcPr>
            <w:tcW w:type="dxa" w:w="4464"/>
            <w:shd w:fill="111111"/>
            <w:vAlign w:val="top"/>
          </w:tcPr>
          <w:p>
            <w:pPr>
              <w:spacing w:after="0" w:before="0" w:line="240" w:lineRule="auto"/>
            </w:pPr>
            <w:r>
              <w:rPr>
                <w:sz w:val="16"/>
              </w:rPr>
            </w:r>
            <w:r>
              <w:rPr>
                <w:b/>
                <w:color w:val="FFFFFF"/>
                <w:sz w:val="16"/>
              </w:rPr>
              <w:t>Pause / Red Flag If</w:t>
            </w:r>
          </w:p>
        </w:tc>
        <w:tc>
          <w:tcPr>
            <w:tcW w:type="dxa" w:w="3600"/>
            <w:shd w:fill="111111"/>
            <w:vAlign w:val="top"/>
          </w:tcPr>
          <w:p>
            <w:pPr>
              <w:spacing w:after="0" w:before="0" w:line="240" w:lineRule="auto"/>
            </w:pPr>
            <w:r>
              <w:rPr>
                <w:sz w:val="16"/>
              </w:rPr>
            </w:r>
            <w:r>
              <w:rPr>
                <w:b/>
                <w:color w:val="FFFFFF"/>
                <w:sz w:val="16"/>
              </w:rPr>
              <w:t>Typical Scope Level</w:t>
            </w:r>
          </w:p>
        </w:tc>
        <w:trPr>
          <w:tblHeader/>
        </w:trPr>
      </w:tr>
      <w:tr>
        <w:tc>
          <w:tcPr>
            <w:tcW w:type="dxa" w:w="4464"/>
            <w:vAlign w:val="top"/>
            <w:shd w:fill="F2F2F2"/>
          </w:tcPr>
          <w:p>
            <w:pPr>
              <w:spacing w:after="0" w:before="0" w:line="240" w:lineRule="auto"/>
            </w:pPr>
            <w:r>
              <w:rPr>
                <w:b/>
                <w:sz w:val="15"/>
              </w:rPr>
            </w:r>
            <w:r>
              <w:rPr>
                <w:b/>
                <w:color w:val="000000"/>
                <w:sz w:val="15"/>
              </w:rPr>
              <w:t>• Require a controlled test area.</w:t>
              <w:br/>
              <w:t>• Use guards or safe distances for moving parts.</w:t>
              <w:br/>
              <w:t>• Keep speeds and masses low.</w:t>
              <w:br/>
              <w:t>• Check batteries and wiring before use.</w:t>
              <w:br/>
              <w:t>• Follow school rules for drones and remote-controlled devices.</w:t>
              <w:br/>
              <w:t>• Have a stop procedure.</w:t>
            </w:r>
          </w:p>
        </w:tc>
        <w:tc>
          <w:tcPr>
            <w:tcW w:type="dxa" w:w="4464"/>
            <w:vAlign w:val="top"/>
          </w:tcPr>
          <w:p>
            <w:pPr>
              <w:spacing w:after="0" w:before="0" w:line="240" w:lineRule="auto"/>
            </w:pPr>
            <w:r>
              <w:rPr>
                <w:sz w:val="15"/>
              </w:rPr>
            </w:r>
            <w:r>
              <w:rPr>
                <w:b w:val="0"/>
                <w:color w:val="000000"/>
                <w:sz w:val="15"/>
              </w:rPr>
              <w:t>• Flying drones near people</w:t>
              <w:br/>
              <w:t>• High-speed rotating parts</w:t>
              <w:br/>
              <w:t>• Large batteries without battery safety knowledge</w:t>
              <w:br/>
              <w:t>• Pinch points, projectiles, or uncontrolled motion</w:t>
              <w:br/>
              <w:t>• Testing in public spaces without approval</w:t>
            </w:r>
          </w:p>
        </w:tc>
        <w:tc>
          <w:tcPr>
            <w:tcW w:type="dxa" w:w="3600"/>
            <w:vAlign w:val="top"/>
          </w:tcPr>
          <w:p>
            <w:pPr>
              <w:spacing w:after="0" w:before="0" w:line="240" w:lineRule="auto"/>
            </w:pPr>
            <w:r>
              <w:rPr>
                <w:sz w:val="15"/>
              </w:rPr>
            </w:r>
            <w:r>
              <w:rPr>
                <w:b w:val="0"/>
                <w:color w:val="000000"/>
                <w:sz w:val="15"/>
              </w:rPr>
              <w:t>Usually Level 2. Move to Level 3 when drones, lithium batteries, high-speed motion, autonomous movement around people, or off-site testing are involved.</w:t>
            </w:r>
          </w:p>
        </w:tc>
      </w:tr>
    </w:tbl>
    <w:p/>
    <w:p>
      <w:pPr>
        <w:pStyle w:val="Heading2"/>
      </w:pPr>
      <w:r>
        <w:t>Electricity, Circuits, Sensors, and Arduino Projects</w:t>
      </w:r>
    </w:p>
    <w:p>
      <w:r>
        <w:t>Examples include sensor systems, environmental monitors, light gates, small motor control, Arduino data loggers, and low-voltage circuits.</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456"/>
        <w:gridCol w:w="3456"/>
        <w:gridCol w:w="3456"/>
      </w:tblGrid>
      <w:tr>
        <w:tc>
          <w:tcPr>
            <w:tcW w:type="dxa" w:w="4464"/>
            <w:shd w:fill="111111"/>
            <w:vAlign w:val="top"/>
          </w:tcPr>
          <w:p>
            <w:pPr>
              <w:spacing w:after="0" w:before="0" w:line="240" w:lineRule="auto"/>
            </w:pPr>
            <w:r>
              <w:rPr>
                <w:sz w:val="16"/>
              </w:rPr>
            </w:r>
            <w:r>
              <w:rPr>
                <w:b/>
                <w:color w:val="FFFFFF"/>
                <w:sz w:val="16"/>
              </w:rPr>
              <w:t>Teacher Should Require</w:t>
            </w:r>
          </w:p>
        </w:tc>
        <w:tc>
          <w:tcPr>
            <w:tcW w:type="dxa" w:w="4464"/>
            <w:shd w:fill="111111"/>
            <w:vAlign w:val="top"/>
          </w:tcPr>
          <w:p>
            <w:pPr>
              <w:spacing w:after="0" w:before="0" w:line="240" w:lineRule="auto"/>
            </w:pPr>
            <w:r>
              <w:rPr>
                <w:sz w:val="16"/>
              </w:rPr>
            </w:r>
            <w:r>
              <w:rPr>
                <w:b/>
                <w:color w:val="FFFFFF"/>
                <w:sz w:val="16"/>
              </w:rPr>
              <w:t>Pause / Red Flag If</w:t>
            </w:r>
          </w:p>
        </w:tc>
        <w:tc>
          <w:tcPr>
            <w:tcW w:type="dxa" w:w="3600"/>
            <w:shd w:fill="111111"/>
            <w:vAlign w:val="top"/>
          </w:tcPr>
          <w:p>
            <w:pPr>
              <w:spacing w:after="0" w:before="0" w:line="240" w:lineRule="auto"/>
            </w:pPr>
            <w:r>
              <w:rPr>
                <w:sz w:val="16"/>
              </w:rPr>
            </w:r>
            <w:r>
              <w:rPr>
                <w:b/>
                <w:color w:val="FFFFFF"/>
                <w:sz w:val="16"/>
              </w:rPr>
              <w:t>Typical Scope Level</w:t>
            </w:r>
          </w:p>
        </w:tc>
        <w:trPr>
          <w:tblHeader/>
        </w:trPr>
      </w:tr>
      <w:tr>
        <w:tc>
          <w:tcPr>
            <w:tcW w:type="dxa" w:w="4464"/>
            <w:vAlign w:val="top"/>
            <w:shd w:fill="F2F2F2"/>
          </w:tcPr>
          <w:p>
            <w:pPr>
              <w:spacing w:after="0" w:before="0" w:line="240" w:lineRule="auto"/>
            </w:pPr>
            <w:r>
              <w:rPr>
                <w:b/>
                <w:sz w:val="15"/>
              </w:rPr>
            </w:r>
            <w:r>
              <w:rPr>
                <w:b/>
                <w:color w:val="000000"/>
                <w:sz w:val="15"/>
              </w:rPr>
              <w:t>• Use low-voltage DC systems whenever possible.</w:t>
              <w:br/>
              <w:t>• Inspect wiring before powering circuits.</w:t>
              <w:br/>
              <w:t>• Avoid exposed conductors near liquids.</w:t>
              <w:br/>
              <w:t>• Use current limits, fuses, or protected supplies when appropriate.</w:t>
              <w:br/>
              <w:t>• Do not modify building wiring or plug-in AC devices.</w:t>
            </w:r>
          </w:p>
        </w:tc>
        <w:tc>
          <w:tcPr>
            <w:tcW w:type="dxa" w:w="4464"/>
            <w:vAlign w:val="top"/>
          </w:tcPr>
          <w:p>
            <w:pPr>
              <w:spacing w:after="0" w:before="0" w:line="240" w:lineRule="auto"/>
            </w:pPr>
            <w:r>
              <w:rPr>
                <w:sz w:val="15"/>
              </w:rPr>
            </w:r>
            <w:r>
              <w:rPr>
                <w:b w:val="0"/>
                <w:color w:val="000000"/>
                <w:sz w:val="15"/>
              </w:rPr>
              <w:t>• Mains voltage or wall power modification</w:t>
              <w:br/>
              <w:t>• Large capacitors</w:t>
              <w:br/>
              <w:t>• High-current batteries</w:t>
              <w:br/>
              <w:t>• Heating elements</w:t>
              <w:br/>
              <w:t>• Water plus electricity</w:t>
              <w:br/>
              <w:t>• Unsupervised battery charging</w:t>
            </w:r>
          </w:p>
        </w:tc>
        <w:tc>
          <w:tcPr>
            <w:tcW w:type="dxa" w:w="3600"/>
            <w:vAlign w:val="top"/>
          </w:tcPr>
          <w:p>
            <w:pPr>
              <w:spacing w:after="0" w:before="0" w:line="240" w:lineRule="auto"/>
            </w:pPr>
            <w:r>
              <w:rPr>
                <w:sz w:val="15"/>
              </w:rPr>
            </w:r>
            <w:r>
              <w:rPr>
                <w:b w:val="0"/>
                <w:color w:val="000000"/>
                <w:sz w:val="15"/>
              </w:rPr>
              <w:t>Low-voltage breadboard work is often Level 1 to 2. Anything involving wall power, high current, heat, or battery charging moves to Level 3 or not approved in current form.</w:t>
            </w:r>
          </w:p>
        </w:tc>
      </w:tr>
    </w:tbl>
    <w:p/>
    <w:p>
      <w:pPr>
        <w:pStyle w:val="Heading2"/>
      </w:pPr>
      <w:r>
        <w:t>Chemistry and Materials Testing</w:t>
      </w:r>
    </w:p>
    <w:p>
      <w:r>
        <w:t>Examples include pH comparisons, corrosion, safe polymer/material comparisons, water quality indicators, and school-approved reaction-rate labs.</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456"/>
        <w:gridCol w:w="3456"/>
        <w:gridCol w:w="3456"/>
      </w:tblGrid>
      <w:tr>
        <w:tc>
          <w:tcPr>
            <w:tcW w:type="dxa" w:w="4464"/>
            <w:shd w:fill="111111"/>
            <w:vAlign w:val="top"/>
          </w:tcPr>
          <w:p>
            <w:pPr>
              <w:spacing w:after="0" w:before="0" w:line="240" w:lineRule="auto"/>
            </w:pPr>
            <w:r>
              <w:rPr>
                <w:sz w:val="16"/>
              </w:rPr>
            </w:r>
            <w:r>
              <w:rPr>
                <w:b/>
                <w:color w:val="FFFFFF"/>
                <w:sz w:val="16"/>
              </w:rPr>
              <w:t>Teacher Should Require</w:t>
            </w:r>
          </w:p>
        </w:tc>
        <w:tc>
          <w:tcPr>
            <w:tcW w:type="dxa" w:w="4464"/>
            <w:shd w:fill="111111"/>
            <w:vAlign w:val="top"/>
          </w:tcPr>
          <w:p>
            <w:pPr>
              <w:spacing w:after="0" w:before="0" w:line="240" w:lineRule="auto"/>
            </w:pPr>
            <w:r>
              <w:rPr>
                <w:sz w:val="16"/>
              </w:rPr>
            </w:r>
            <w:r>
              <w:rPr>
                <w:b/>
                <w:color w:val="FFFFFF"/>
                <w:sz w:val="16"/>
              </w:rPr>
              <w:t>Pause / Red Flag If</w:t>
            </w:r>
          </w:p>
        </w:tc>
        <w:tc>
          <w:tcPr>
            <w:tcW w:type="dxa" w:w="3600"/>
            <w:shd w:fill="111111"/>
            <w:vAlign w:val="top"/>
          </w:tcPr>
          <w:p>
            <w:pPr>
              <w:spacing w:after="0" w:before="0" w:line="240" w:lineRule="auto"/>
            </w:pPr>
            <w:r>
              <w:rPr>
                <w:sz w:val="16"/>
              </w:rPr>
            </w:r>
            <w:r>
              <w:rPr>
                <w:b/>
                <w:color w:val="FFFFFF"/>
                <w:sz w:val="16"/>
              </w:rPr>
              <w:t>Typical Scope Level</w:t>
            </w:r>
          </w:p>
        </w:tc>
        <w:trPr>
          <w:tblHeader/>
        </w:trPr>
      </w:tr>
      <w:tr>
        <w:tc>
          <w:tcPr>
            <w:tcW w:type="dxa" w:w="4464"/>
            <w:vAlign w:val="top"/>
            <w:shd w:fill="F2F2F2"/>
          </w:tcPr>
          <w:p>
            <w:pPr>
              <w:spacing w:after="0" w:before="0" w:line="240" w:lineRule="auto"/>
            </w:pPr>
            <w:r>
              <w:rPr>
                <w:b/>
                <w:sz w:val="15"/>
              </w:rPr>
            </w:r>
            <w:r>
              <w:rPr>
                <w:b/>
                <w:color w:val="000000"/>
                <w:sz w:val="15"/>
              </w:rPr>
              <w:t>• Use only approved chemicals with known hazards.</w:t>
              <w:br/>
              <w:t>• Review SDS or school chemical safety guidance.</w:t>
              <w:br/>
              <w:t>• Use PPE and ventilation appropriate to the material.</w:t>
              <w:br/>
              <w:t>• Label containers.</w:t>
              <w:br/>
              <w:t>• Plan storage and disposal before testing.</w:t>
              <w:br/>
              <w:t>• Use microscale quantities when possible.</w:t>
            </w:r>
          </w:p>
        </w:tc>
        <w:tc>
          <w:tcPr>
            <w:tcW w:type="dxa" w:w="4464"/>
            <w:vAlign w:val="top"/>
          </w:tcPr>
          <w:p>
            <w:pPr>
              <w:spacing w:after="0" w:before="0" w:line="240" w:lineRule="auto"/>
            </w:pPr>
            <w:r>
              <w:rPr>
                <w:sz w:val="15"/>
              </w:rPr>
            </w:r>
            <w:r>
              <w:rPr>
                <w:b w:val="0"/>
                <w:color w:val="000000"/>
                <w:sz w:val="15"/>
              </w:rPr>
              <w:t>• Unknown chemical mixing</w:t>
              <w:br/>
              <w:t>• Strong acids/bases without approved controls</w:t>
              <w:br/>
              <w:t>• Flammable solvents</w:t>
              <w:br/>
              <w:t>• Toxic fumes</w:t>
              <w:br/>
              <w:t>• Nanomaterials or fine powders</w:t>
              <w:br/>
              <w:t>• Unapproved waste disposal</w:t>
            </w:r>
          </w:p>
        </w:tc>
        <w:tc>
          <w:tcPr>
            <w:tcW w:type="dxa" w:w="3600"/>
            <w:vAlign w:val="top"/>
          </w:tcPr>
          <w:p>
            <w:pPr>
              <w:spacing w:after="0" w:before="0" w:line="240" w:lineRule="auto"/>
            </w:pPr>
            <w:r>
              <w:rPr>
                <w:sz w:val="15"/>
              </w:rPr>
            </w:r>
            <w:r>
              <w:rPr>
                <w:b w:val="0"/>
                <w:color w:val="000000"/>
                <w:sz w:val="15"/>
              </w:rPr>
              <w:t>Usually Level 2 or 3. Many chemistry projects require additional review and should be limited to approved materials, quantities, spaces, and disposal procedures.</w:t>
            </w:r>
          </w:p>
        </w:tc>
      </w:tr>
    </w:tbl>
    <w:p/>
    <w:p>
      <w:pPr>
        <w:pStyle w:val="Heading2"/>
      </w:pPr>
      <w:r>
        <w:t>Biology, Microbiology, and Biological Materials</w:t>
      </w:r>
    </w:p>
    <w:p>
      <w:r>
        <w:t>Examples may include plant observations, approved enzyme demonstrations, non-culturing environmental comparisons, or teacher-provided safe biological materials.</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456"/>
        <w:gridCol w:w="3456"/>
        <w:gridCol w:w="3456"/>
      </w:tblGrid>
      <w:tr>
        <w:tc>
          <w:tcPr>
            <w:tcW w:type="dxa" w:w="4464"/>
            <w:shd w:fill="111111"/>
            <w:vAlign w:val="top"/>
          </w:tcPr>
          <w:p>
            <w:pPr>
              <w:spacing w:after="0" w:before="0" w:line="240" w:lineRule="auto"/>
            </w:pPr>
            <w:r>
              <w:rPr>
                <w:sz w:val="16"/>
              </w:rPr>
            </w:r>
            <w:r>
              <w:rPr>
                <w:b/>
                <w:color w:val="FFFFFF"/>
                <w:sz w:val="16"/>
              </w:rPr>
              <w:t>Teacher Should Require</w:t>
            </w:r>
          </w:p>
        </w:tc>
        <w:tc>
          <w:tcPr>
            <w:tcW w:type="dxa" w:w="4464"/>
            <w:shd w:fill="111111"/>
            <w:vAlign w:val="top"/>
          </w:tcPr>
          <w:p>
            <w:pPr>
              <w:spacing w:after="0" w:before="0" w:line="240" w:lineRule="auto"/>
            </w:pPr>
            <w:r>
              <w:rPr>
                <w:sz w:val="16"/>
              </w:rPr>
            </w:r>
            <w:r>
              <w:rPr>
                <w:b/>
                <w:color w:val="FFFFFF"/>
                <w:sz w:val="16"/>
              </w:rPr>
              <w:t>Pause / Red Flag If</w:t>
            </w:r>
          </w:p>
        </w:tc>
        <w:tc>
          <w:tcPr>
            <w:tcW w:type="dxa" w:w="3600"/>
            <w:shd w:fill="111111"/>
            <w:vAlign w:val="top"/>
          </w:tcPr>
          <w:p>
            <w:pPr>
              <w:spacing w:after="0" w:before="0" w:line="240" w:lineRule="auto"/>
            </w:pPr>
            <w:r>
              <w:rPr>
                <w:sz w:val="16"/>
              </w:rPr>
            </w:r>
            <w:r>
              <w:rPr>
                <w:b/>
                <w:color w:val="FFFFFF"/>
                <w:sz w:val="16"/>
              </w:rPr>
              <w:t>Typical Scope Level</w:t>
            </w:r>
          </w:p>
        </w:tc>
        <w:trPr>
          <w:tblHeader/>
        </w:trPr>
      </w:tr>
      <w:tr>
        <w:tc>
          <w:tcPr>
            <w:tcW w:type="dxa" w:w="4464"/>
            <w:vAlign w:val="top"/>
            <w:shd w:fill="F2F2F2"/>
          </w:tcPr>
          <w:p>
            <w:pPr>
              <w:spacing w:after="0" w:before="0" w:line="240" w:lineRule="auto"/>
            </w:pPr>
            <w:r>
              <w:rPr>
                <w:b/>
                <w:sz w:val="15"/>
              </w:rPr>
            </w:r>
            <w:r>
              <w:rPr>
                <w:b/>
                <w:color w:val="000000"/>
                <w:sz w:val="15"/>
              </w:rPr>
              <w:t>• Avoid unknown organisms and unknown cultures.</w:t>
              <w:br/>
              <w:t>• Do not culture environmental samples without formal approval and containment.</w:t>
              <w:br/>
              <w:t>• Use gloves and eye protection when handling approved biological materials.</w:t>
              <w:br/>
              <w:t>• Disinfect surfaces and dispose of materials according to school policy.</w:t>
              <w:br/>
              <w:t>• Do not use bodily fluids.</w:t>
            </w:r>
          </w:p>
        </w:tc>
        <w:tc>
          <w:tcPr>
            <w:tcW w:type="dxa" w:w="4464"/>
            <w:vAlign w:val="top"/>
          </w:tcPr>
          <w:p>
            <w:pPr>
              <w:spacing w:after="0" w:before="0" w:line="240" w:lineRule="auto"/>
            </w:pPr>
            <w:r>
              <w:rPr>
                <w:sz w:val="15"/>
              </w:rPr>
            </w:r>
            <w:r>
              <w:rPr>
                <w:b w:val="0"/>
                <w:color w:val="000000"/>
                <w:sz w:val="15"/>
              </w:rPr>
              <w:t>• Bacterial culturing from surfaces</w:t>
              <w:br/>
              <w:t>• Mold growth</w:t>
              <w:br/>
              <w:t>• Bodily fluids</w:t>
              <w:br/>
              <w:t>• Unknown environmental microorganisms</w:t>
              <w:br/>
              <w:t>• Animal tissue without approval</w:t>
              <w:br/>
              <w:t>• Food spoilage experiments without containment</w:t>
            </w:r>
          </w:p>
        </w:tc>
        <w:tc>
          <w:tcPr>
            <w:tcW w:type="dxa" w:w="3600"/>
            <w:vAlign w:val="top"/>
          </w:tcPr>
          <w:p>
            <w:pPr>
              <w:spacing w:after="0" w:before="0" w:line="240" w:lineRule="auto"/>
            </w:pPr>
            <w:r>
              <w:rPr>
                <w:sz w:val="15"/>
              </w:rPr>
            </w:r>
            <w:r>
              <w:rPr>
                <w:b w:val="0"/>
                <w:color w:val="000000"/>
                <w:sz w:val="15"/>
              </w:rPr>
              <w:t>Often Level 3. Many student ideas should be redirected to image analysis, public datasets, safe simulations, teacher-provided samples, or non-culturing methods.</w:t>
            </w:r>
          </w:p>
        </w:tc>
      </w:tr>
    </w:tbl>
    <w:p/>
    <w:p>
      <w:pPr>
        <w:pStyle w:val="Heading2"/>
      </w:pPr>
      <w:r>
        <w:t>Human Participants, Surveys, Interviews, and Behavioral Data</w:t>
      </w:r>
    </w:p>
    <w:p>
      <w:r>
        <w:t>Examples include surveys, interviews, reaction-time tests, classroom observations, usability tests, or human-computer interaction studies.</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456"/>
        <w:gridCol w:w="3456"/>
        <w:gridCol w:w="3456"/>
      </w:tblGrid>
      <w:tr>
        <w:tc>
          <w:tcPr>
            <w:tcW w:type="dxa" w:w="4464"/>
            <w:shd w:fill="111111"/>
            <w:vAlign w:val="top"/>
          </w:tcPr>
          <w:p>
            <w:pPr>
              <w:spacing w:after="0" w:before="0" w:line="240" w:lineRule="auto"/>
            </w:pPr>
            <w:r>
              <w:rPr>
                <w:sz w:val="16"/>
              </w:rPr>
            </w:r>
            <w:r>
              <w:rPr>
                <w:b/>
                <w:color w:val="FFFFFF"/>
                <w:sz w:val="16"/>
              </w:rPr>
              <w:t>Teacher Should Require</w:t>
            </w:r>
          </w:p>
        </w:tc>
        <w:tc>
          <w:tcPr>
            <w:tcW w:type="dxa" w:w="4464"/>
            <w:shd w:fill="111111"/>
            <w:vAlign w:val="top"/>
          </w:tcPr>
          <w:p>
            <w:pPr>
              <w:spacing w:after="0" w:before="0" w:line="240" w:lineRule="auto"/>
            </w:pPr>
            <w:r>
              <w:rPr>
                <w:sz w:val="16"/>
              </w:rPr>
            </w:r>
            <w:r>
              <w:rPr>
                <w:b/>
                <w:color w:val="FFFFFF"/>
                <w:sz w:val="16"/>
              </w:rPr>
              <w:t>Pause / Red Flag If</w:t>
            </w:r>
          </w:p>
        </w:tc>
        <w:tc>
          <w:tcPr>
            <w:tcW w:type="dxa" w:w="3600"/>
            <w:shd w:fill="111111"/>
            <w:vAlign w:val="top"/>
          </w:tcPr>
          <w:p>
            <w:pPr>
              <w:spacing w:after="0" w:before="0" w:line="240" w:lineRule="auto"/>
            </w:pPr>
            <w:r>
              <w:rPr>
                <w:sz w:val="16"/>
              </w:rPr>
            </w:r>
            <w:r>
              <w:rPr>
                <w:b/>
                <w:color w:val="FFFFFF"/>
                <w:sz w:val="16"/>
              </w:rPr>
              <w:t>Typical Scope Level</w:t>
            </w:r>
          </w:p>
        </w:tc>
        <w:trPr>
          <w:tblHeader/>
        </w:trPr>
      </w:tr>
      <w:tr>
        <w:tc>
          <w:tcPr>
            <w:tcW w:type="dxa" w:w="4464"/>
            <w:vAlign w:val="top"/>
            <w:shd w:fill="F2F2F2"/>
          </w:tcPr>
          <w:p>
            <w:pPr>
              <w:spacing w:after="0" w:before="0" w:line="240" w:lineRule="auto"/>
            </w:pPr>
            <w:r>
              <w:rPr>
                <w:b/>
                <w:sz w:val="15"/>
              </w:rPr>
            </w:r>
            <w:r>
              <w:rPr>
                <w:b/>
                <w:color w:val="000000"/>
                <w:sz w:val="15"/>
              </w:rPr>
              <w:t>• Obtain approval before contacting participants.</w:t>
              <w:br/>
              <w:t>• Use low-risk, non-sensitive questions.</w:t>
              <w:br/>
              <w:t>• Protect privacy and anonymity.</w:t>
              <w:br/>
              <w:t>• Use consent/assent procedures required by the school.</w:t>
              <w:br/>
              <w:t>• Do not collect private, medical, psychological, disciplinary, or identifying data without formal review.</w:t>
            </w:r>
          </w:p>
        </w:tc>
        <w:tc>
          <w:tcPr>
            <w:tcW w:type="dxa" w:w="4464"/>
            <w:vAlign w:val="top"/>
          </w:tcPr>
          <w:p>
            <w:pPr>
              <w:spacing w:after="0" w:before="0" w:line="240" w:lineRule="auto"/>
            </w:pPr>
            <w:r>
              <w:rPr>
                <w:sz w:val="15"/>
              </w:rPr>
            </w:r>
            <w:r>
              <w:rPr>
                <w:b w:val="0"/>
                <w:color w:val="000000"/>
                <w:sz w:val="15"/>
              </w:rPr>
              <w:t>• Mental health surveys</w:t>
              <w:br/>
              <w:t>• Grades, health data, or private records</w:t>
              <w:br/>
              <w:t>• Recording students without consent</w:t>
              <w:br/>
              <w:t>• Exercise or medical testing</w:t>
              <w:br/>
              <w:t>• Vulnerable populations</w:t>
              <w:br/>
              <w:t>• Pressure to participate</w:t>
            </w:r>
          </w:p>
        </w:tc>
        <w:tc>
          <w:tcPr>
            <w:tcW w:type="dxa" w:w="3600"/>
            <w:vAlign w:val="top"/>
          </w:tcPr>
          <w:p>
            <w:pPr>
              <w:spacing w:after="0" w:before="0" w:line="240" w:lineRule="auto"/>
            </w:pPr>
            <w:r>
              <w:rPr>
                <w:sz w:val="15"/>
              </w:rPr>
            </w:r>
            <w:r>
              <w:rPr>
                <w:b w:val="0"/>
                <w:color w:val="000000"/>
                <w:sz w:val="15"/>
              </w:rPr>
              <w:t>Level 3 by default. Some may not be appropriate. Safer alternatives include public anonymous datasets, usability testing of a device without personal data, or teacher-approved non-sensitive class polls.</w:t>
            </w:r>
          </w:p>
        </w:tc>
      </w:tr>
    </w:tbl>
    <w:p/>
    <w:p>
      <w:pPr>
        <w:pStyle w:val="Heading2"/>
      </w:pPr>
      <w:r>
        <w:t>Health, Exercise, Nutrition, and Medical-Adjacent Projects</w:t>
      </w:r>
    </w:p>
    <w:p>
      <w:r>
        <w:t>Examples students often propose include heart rate studies, caffeine effects, sleep and performance, supplements, sports performance, or health-related app designs.</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456"/>
        <w:gridCol w:w="3456"/>
        <w:gridCol w:w="3456"/>
      </w:tblGrid>
      <w:tr>
        <w:tc>
          <w:tcPr>
            <w:tcW w:type="dxa" w:w="4464"/>
            <w:shd w:fill="111111"/>
            <w:vAlign w:val="top"/>
          </w:tcPr>
          <w:p>
            <w:pPr>
              <w:spacing w:after="0" w:before="0" w:line="240" w:lineRule="auto"/>
            </w:pPr>
            <w:r>
              <w:rPr>
                <w:sz w:val="16"/>
              </w:rPr>
            </w:r>
            <w:r>
              <w:rPr>
                <w:b/>
                <w:color w:val="FFFFFF"/>
                <w:sz w:val="16"/>
              </w:rPr>
              <w:t>Teacher Should Require</w:t>
            </w:r>
          </w:p>
        </w:tc>
        <w:tc>
          <w:tcPr>
            <w:tcW w:type="dxa" w:w="4464"/>
            <w:shd w:fill="111111"/>
            <w:vAlign w:val="top"/>
          </w:tcPr>
          <w:p>
            <w:pPr>
              <w:spacing w:after="0" w:before="0" w:line="240" w:lineRule="auto"/>
            </w:pPr>
            <w:r>
              <w:rPr>
                <w:sz w:val="16"/>
              </w:rPr>
            </w:r>
            <w:r>
              <w:rPr>
                <w:b/>
                <w:color w:val="FFFFFF"/>
                <w:sz w:val="16"/>
              </w:rPr>
              <w:t>Pause / Red Flag If</w:t>
            </w:r>
          </w:p>
        </w:tc>
        <w:tc>
          <w:tcPr>
            <w:tcW w:type="dxa" w:w="3600"/>
            <w:shd w:fill="111111"/>
            <w:vAlign w:val="top"/>
          </w:tcPr>
          <w:p>
            <w:pPr>
              <w:spacing w:after="0" w:before="0" w:line="240" w:lineRule="auto"/>
            </w:pPr>
            <w:r>
              <w:rPr>
                <w:sz w:val="16"/>
              </w:rPr>
            </w:r>
            <w:r>
              <w:rPr>
                <w:b/>
                <w:color w:val="FFFFFF"/>
                <w:sz w:val="16"/>
              </w:rPr>
              <w:t>Typical Scope Level</w:t>
            </w:r>
          </w:p>
        </w:tc>
        <w:trPr>
          <w:tblHeader/>
        </w:trPr>
      </w:tr>
      <w:tr>
        <w:tc>
          <w:tcPr>
            <w:tcW w:type="dxa" w:w="4464"/>
            <w:vAlign w:val="top"/>
            <w:shd w:fill="F2F2F2"/>
          </w:tcPr>
          <w:p>
            <w:pPr>
              <w:spacing w:after="0" w:before="0" w:line="240" w:lineRule="auto"/>
            </w:pPr>
            <w:r>
              <w:rPr>
                <w:b/>
                <w:sz w:val="15"/>
              </w:rPr>
            </w:r>
            <w:r>
              <w:rPr>
                <w:b/>
                <w:color w:val="000000"/>
                <w:sz w:val="15"/>
              </w:rPr>
              <w:t>• Treat health-related claims cautiously.</w:t>
              <w:br/>
              <w:t>• Avoid diagnosis, treatment, medical advice, or ingestion studies.</w:t>
              <w:br/>
              <w:t>• Protect privacy.</w:t>
              <w:br/>
              <w:t>• Use public data, simulations, design evaluations, or non-invasive, low-risk demonstrations when possible.</w:t>
            </w:r>
          </w:p>
        </w:tc>
        <w:tc>
          <w:tcPr>
            <w:tcW w:type="dxa" w:w="4464"/>
            <w:vAlign w:val="top"/>
          </w:tcPr>
          <w:p>
            <w:pPr>
              <w:spacing w:after="0" w:before="0" w:line="240" w:lineRule="auto"/>
            </w:pPr>
            <w:r>
              <w:rPr>
                <w:sz w:val="15"/>
              </w:rPr>
            </w:r>
            <w:r>
              <w:rPr>
                <w:b w:val="0"/>
                <w:color w:val="000000"/>
                <w:sz w:val="15"/>
              </w:rPr>
              <w:t>• Testing supplements, medication, caffeine, or diets</w:t>
              <w:br/>
              <w:t>• Exercise stress tests</w:t>
              <w:br/>
              <w:t>• Collecting health information</w:t>
              <w:br/>
              <w:t>• Making medical claims</w:t>
              <w:br/>
              <w:t>• Measuring minors without consent and approval</w:t>
            </w:r>
          </w:p>
        </w:tc>
        <w:tc>
          <w:tcPr>
            <w:tcW w:type="dxa" w:w="3600"/>
            <w:vAlign w:val="top"/>
          </w:tcPr>
          <w:p>
            <w:pPr>
              <w:spacing w:after="0" w:before="0" w:line="240" w:lineRule="auto"/>
            </w:pPr>
            <w:r>
              <w:rPr>
                <w:sz w:val="15"/>
              </w:rPr>
            </w:r>
            <w:r>
              <w:rPr>
                <w:b w:val="0"/>
                <w:color w:val="000000"/>
                <w:sz w:val="15"/>
              </w:rPr>
              <w:t>Generally Level 3 or not approved in current form. Redirect toward public datasets, device design, literature-informed engineering, or non-human models.</w:t>
            </w:r>
          </w:p>
        </w:tc>
      </w:tr>
    </w:tbl>
    <w:p/>
    <w:p>
      <w:pPr>
        <w:pStyle w:val="Heading2"/>
      </w:pPr>
      <w:r>
        <w:t>Environmental Science and Field Sampling</w:t>
      </w:r>
    </w:p>
    <w:p>
      <w:r>
        <w:t>Examples include water quality, soil observations, microplastics screening, air quality sensors, urban heat mapping, or ecological surveys.</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456"/>
        <w:gridCol w:w="3456"/>
        <w:gridCol w:w="3456"/>
      </w:tblGrid>
      <w:tr>
        <w:tc>
          <w:tcPr>
            <w:tcW w:type="dxa" w:w="4464"/>
            <w:shd w:fill="111111"/>
            <w:vAlign w:val="top"/>
          </w:tcPr>
          <w:p>
            <w:pPr>
              <w:spacing w:after="0" w:before="0" w:line="240" w:lineRule="auto"/>
            </w:pPr>
            <w:r>
              <w:rPr>
                <w:sz w:val="16"/>
              </w:rPr>
            </w:r>
            <w:r>
              <w:rPr>
                <w:b/>
                <w:color w:val="FFFFFF"/>
                <w:sz w:val="16"/>
              </w:rPr>
              <w:t>Teacher Should Require</w:t>
            </w:r>
          </w:p>
        </w:tc>
        <w:tc>
          <w:tcPr>
            <w:tcW w:type="dxa" w:w="4464"/>
            <w:shd w:fill="111111"/>
            <w:vAlign w:val="top"/>
          </w:tcPr>
          <w:p>
            <w:pPr>
              <w:spacing w:after="0" w:before="0" w:line="240" w:lineRule="auto"/>
            </w:pPr>
            <w:r>
              <w:rPr>
                <w:sz w:val="16"/>
              </w:rPr>
            </w:r>
            <w:r>
              <w:rPr>
                <w:b/>
                <w:color w:val="FFFFFF"/>
                <w:sz w:val="16"/>
              </w:rPr>
              <w:t>Pause / Red Flag If</w:t>
            </w:r>
          </w:p>
        </w:tc>
        <w:tc>
          <w:tcPr>
            <w:tcW w:type="dxa" w:w="3600"/>
            <w:shd w:fill="111111"/>
            <w:vAlign w:val="top"/>
          </w:tcPr>
          <w:p>
            <w:pPr>
              <w:spacing w:after="0" w:before="0" w:line="240" w:lineRule="auto"/>
            </w:pPr>
            <w:r>
              <w:rPr>
                <w:sz w:val="16"/>
              </w:rPr>
            </w:r>
            <w:r>
              <w:rPr>
                <w:b/>
                <w:color w:val="FFFFFF"/>
                <w:sz w:val="16"/>
              </w:rPr>
              <w:t>Typical Scope Level</w:t>
            </w:r>
          </w:p>
        </w:tc>
        <w:trPr>
          <w:tblHeader/>
        </w:trPr>
      </w:tr>
      <w:tr>
        <w:tc>
          <w:tcPr>
            <w:tcW w:type="dxa" w:w="4464"/>
            <w:vAlign w:val="top"/>
            <w:shd w:fill="F2F2F2"/>
          </w:tcPr>
          <w:p>
            <w:pPr>
              <w:spacing w:after="0" w:before="0" w:line="240" w:lineRule="auto"/>
            </w:pPr>
            <w:r>
              <w:rPr>
                <w:b/>
                <w:sz w:val="15"/>
              </w:rPr>
            </w:r>
            <w:r>
              <w:rPr>
                <w:b/>
                <w:color w:val="000000"/>
                <w:sz w:val="15"/>
              </w:rPr>
              <w:t>• Obtain permission for sampling locations.</w:t>
              <w:br/>
              <w:t>• Avoid hazardous sites.</w:t>
              <w:br/>
              <w:t>• Use gloves and containers.</w:t>
              <w:br/>
              <w:t>• Do not bring unknown biological samples into the classroom without approval.</w:t>
              <w:br/>
              <w:t>• Avoid environmental release.</w:t>
              <w:br/>
              <w:t>• Plan transport, labeling, storage, and disposal.</w:t>
            </w:r>
          </w:p>
        </w:tc>
        <w:tc>
          <w:tcPr>
            <w:tcW w:type="dxa" w:w="4464"/>
            <w:vAlign w:val="top"/>
          </w:tcPr>
          <w:p>
            <w:pPr>
              <w:spacing w:after="0" w:before="0" w:line="240" w:lineRule="auto"/>
            </w:pPr>
            <w:r>
              <w:rPr>
                <w:sz w:val="15"/>
              </w:rPr>
            </w:r>
            <w:r>
              <w:rPr>
                <w:b w:val="0"/>
                <w:color w:val="000000"/>
                <w:sz w:val="15"/>
              </w:rPr>
              <w:t>• Unknown water or soil contamination</w:t>
              <w:br/>
              <w:t>• Sampling on private property</w:t>
              <w:br/>
              <w:t>• Disturbing habitats</w:t>
              <w:br/>
              <w:t>• Culturing environmental samples</w:t>
              <w:br/>
              <w:t>• Field work near traffic, water, ice, or unsafe terrain</w:t>
            </w:r>
          </w:p>
        </w:tc>
        <w:tc>
          <w:tcPr>
            <w:tcW w:type="dxa" w:w="3600"/>
            <w:vAlign w:val="top"/>
          </w:tcPr>
          <w:p>
            <w:pPr>
              <w:spacing w:after="0" w:before="0" w:line="240" w:lineRule="auto"/>
            </w:pPr>
            <w:r>
              <w:rPr>
                <w:sz w:val="15"/>
              </w:rPr>
            </w:r>
            <w:r>
              <w:rPr>
                <w:b w:val="0"/>
                <w:color w:val="000000"/>
                <w:sz w:val="15"/>
              </w:rPr>
              <w:t>Usually Level 2 to 3. Sensor mapping and public data are often safer. Wet samples, biological unknowns, or off-site field work require additional review.</w:t>
            </w:r>
          </w:p>
        </w:tc>
      </w:tr>
    </w:tbl>
    <w:p/>
    <w:p>
      <w:pPr>
        <w:pStyle w:val="Heading2"/>
      </w:pPr>
      <w:r>
        <w:t>Computer Science, AI, Coding, and Simulation Projects</w:t>
      </w:r>
    </w:p>
    <w:p>
      <w:r>
        <w:t>Examples include simulations, image classification, drone vision algorithms, data dashboards, apps, modeling, and code-based tools.</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456"/>
        <w:gridCol w:w="3456"/>
        <w:gridCol w:w="3456"/>
      </w:tblGrid>
      <w:tr>
        <w:tc>
          <w:tcPr>
            <w:tcW w:type="dxa" w:w="4464"/>
            <w:shd w:fill="111111"/>
            <w:vAlign w:val="top"/>
          </w:tcPr>
          <w:p>
            <w:pPr>
              <w:spacing w:after="0" w:before="0" w:line="240" w:lineRule="auto"/>
            </w:pPr>
            <w:r>
              <w:rPr>
                <w:sz w:val="16"/>
              </w:rPr>
            </w:r>
            <w:r>
              <w:rPr>
                <w:b/>
                <w:color w:val="FFFFFF"/>
                <w:sz w:val="16"/>
              </w:rPr>
              <w:t>Teacher Should Require</w:t>
            </w:r>
          </w:p>
        </w:tc>
        <w:tc>
          <w:tcPr>
            <w:tcW w:type="dxa" w:w="4464"/>
            <w:shd w:fill="111111"/>
            <w:vAlign w:val="top"/>
          </w:tcPr>
          <w:p>
            <w:pPr>
              <w:spacing w:after="0" w:before="0" w:line="240" w:lineRule="auto"/>
            </w:pPr>
            <w:r>
              <w:rPr>
                <w:sz w:val="16"/>
              </w:rPr>
            </w:r>
            <w:r>
              <w:rPr>
                <w:b/>
                <w:color w:val="FFFFFF"/>
                <w:sz w:val="16"/>
              </w:rPr>
              <w:t>Pause / Red Flag If</w:t>
            </w:r>
          </w:p>
        </w:tc>
        <w:tc>
          <w:tcPr>
            <w:tcW w:type="dxa" w:w="3600"/>
            <w:shd w:fill="111111"/>
            <w:vAlign w:val="top"/>
          </w:tcPr>
          <w:p>
            <w:pPr>
              <w:spacing w:after="0" w:before="0" w:line="240" w:lineRule="auto"/>
            </w:pPr>
            <w:r>
              <w:rPr>
                <w:sz w:val="16"/>
              </w:rPr>
            </w:r>
            <w:r>
              <w:rPr>
                <w:b/>
                <w:color w:val="FFFFFF"/>
                <w:sz w:val="16"/>
              </w:rPr>
              <w:t>Typical Scope Level</w:t>
            </w:r>
          </w:p>
        </w:tc>
        <w:trPr>
          <w:tblHeader/>
        </w:trPr>
      </w:tr>
      <w:tr>
        <w:tc>
          <w:tcPr>
            <w:tcW w:type="dxa" w:w="4464"/>
            <w:vAlign w:val="top"/>
            <w:shd w:fill="F2F2F2"/>
          </w:tcPr>
          <w:p>
            <w:pPr>
              <w:spacing w:after="0" w:before="0" w:line="240" w:lineRule="auto"/>
            </w:pPr>
            <w:r>
              <w:rPr>
                <w:b/>
                <w:sz w:val="15"/>
              </w:rPr>
            </w:r>
            <w:r>
              <w:rPr>
                <w:b/>
                <w:color w:val="000000"/>
                <w:sz w:val="15"/>
              </w:rPr>
              <w:t>• Use non-sensitive data or approved public datasets.</w:t>
              <w:br/>
              <w:t>• Document code sources and AI assistance.</w:t>
              <w:br/>
              <w:t>• Protect privacy.</w:t>
              <w:br/>
              <w:t>• Avoid tools that scrape personal information or automate harmful behavior.</w:t>
              <w:br/>
              <w:t>• Validate results honestly.</w:t>
            </w:r>
          </w:p>
        </w:tc>
        <w:tc>
          <w:tcPr>
            <w:tcW w:type="dxa" w:w="4464"/>
            <w:vAlign w:val="top"/>
          </w:tcPr>
          <w:p>
            <w:pPr>
              <w:spacing w:after="0" w:before="0" w:line="240" w:lineRule="auto"/>
            </w:pPr>
            <w:r>
              <w:rPr>
                <w:sz w:val="15"/>
              </w:rPr>
            </w:r>
            <w:r>
              <w:rPr>
                <w:b w:val="0"/>
                <w:color w:val="000000"/>
                <w:sz w:val="15"/>
              </w:rPr>
              <w:t>• Facial recognition on classmates</w:t>
              <w:br/>
              <w:t>• Private photos or identifying data</w:t>
              <w:br/>
              <w:t>• Scraping personal data</w:t>
              <w:br/>
              <w:t>• Cybersecurity attacks</w:t>
              <w:br/>
              <w:t>• Malware or bypassing security</w:t>
              <w:br/>
              <w:t>• Claims the model is medically or legally reliable</w:t>
            </w:r>
          </w:p>
        </w:tc>
        <w:tc>
          <w:tcPr>
            <w:tcW w:type="dxa" w:w="3600"/>
            <w:vAlign w:val="top"/>
          </w:tcPr>
          <w:p>
            <w:pPr>
              <w:spacing w:after="0" w:before="0" w:line="240" w:lineRule="auto"/>
            </w:pPr>
            <w:r>
              <w:rPr>
                <w:sz w:val="15"/>
              </w:rPr>
            </w:r>
            <w:r>
              <w:rPr>
                <w:b w:val="0"/>
                <w:color w:val="000000"/>
                <w:sz w:val="15"/>
              </w:rPr>
              <w:t>Often Level 1 if non-sensitive and local/simulated. Move to Level 3 when personal data, images of people, surveillance, cybersecurity, or sensitive classification is involved.</w:t>
            </w:r>
          </w:p>
        </w:tc>
      </w:tr>
    </w:tbl>
    <w:p/>
    <w:p>
      <w:pPr>
        <w:pStyle w:val="Heading2"/>
      </w:pPr>
      <w:r>
        <w:t>Public Dataset and Data Analysis Projects</w:t>
      </w:r>
    </w:p>
    <w:p>
      <w:r>
        <w:t>Examples include weather, energy, air quality, public health trends, environmental data, sports performance data, astronomy archives, or open government datasets.</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456"/>
        <w:gridCol w:w="3456"/>
        <w:gridCol w:w="3456"/>
      </w:tblGrid>
      <w:tr>
        <w:tc>
          <w:tcPr>
            <w:tcW w:type="dxa" w:w="4464"/>
            <w:shd w:fill="111111"/>
            <w:vAlign w:val="top"/>
          </w:tcPr>
          <w:p>
            <w:pPr>
              <w:spacing w:after="0" w:before="0" w:line="240" w:lineRule="auto"/>
            </w:pPr>
            <w:r>
              <w:rPr>
                <w:sz w:val="16"/>
              </w:rPr>
            </w:r>
            <w:r>
              <w:rPr>
                <w:b/>
                <w:color w:val="FFFFFF"/>
                <w:sz w:val="16"/>
              </w:rPr>
              <w:t>Teacher Should Require</w:t>
            </w:r>
          </w:p>
        </w:tc>
        <w:tc>
          <w:tcPr>
            <w:tcW w:type="dxa" w:w="4464"/>
            <w:shd w:fill="111111"/>
            <w:vAlign w:val="top"/>
          </w:tcPr>
          <w:p>
            <w:pPr>
              <w:spacing w:after="0" w:before="0" w:line="240" w:lineRule="auto"/>
            </w:pPr>
            <w:r>
              <w:rPr>
                <w:sz w:val="16"/>
              </w:rPr>
            </w:r>
            <w:r>
              <w:rPr>
                <w:b/>
                <w:color w:val="FFFFFF"/>
                <w:sz w:val="16"/>
              </w:rPr>
              <w:t>Pause / Red Flag If</w:t>
            </w:r>
          </w:p>
        </w:tc>
        <w:tc>
          <w:tcPr>
            <w:tcW w:type="dxa" w:w="3600"/>
            <w:shd w:fill="111111"/>
            <w:vAlign w:val="top"/>
          </w:tcPr>
          <w:p>
            <w:pPr>
              <w:spacing w:after="0" w:before="0" w:line="240" w:lineRule="auto"/>
            </w:pPr>
            <w:r>
              <w:rPr>
                <w:sz w:val="16"/>
              </w:rPr>
            </w:r>
            <w:r>
              <w:rPr>
                <w:b/>
                <w:color w:val="FFFFFF"/>
                <w:sz w:val="16"/>
              </w:rPr>
              <w:t>Typical Scope Level</w:t>
            </w:r>
          </w:p>
        </w:tc>
        <w:trPr>
          <w:tblHeader/>
        </w:trPr>
      </w:tr>
      <w:tr>
        <w:tc>
          <w:tcPr>
            <w:tcW w:type="dxa" w:w="4464"/>
            <w:vAlign w:val="top"/>
            <w:shd w:fill="F2F2F2"/>
          </w:tcPr>
          <w:p>
            <w:pPr>
              <w:spacing w:after="0" w:before="0" w:line="240" w:lineRule="auto"/>
            </w:pPr>
            <w:r>
              <w:rPr>
                <w:b/>
                <w:sz w:val="15"/>
              </w:rPr>
            </w:r>
            <w:r>
              <w:rPr>
                <w:b/>
                <w:color w:val="000000"/>
                <w:sz w:val="15"/>
              </w:rPr>
              <w:t>• Use reputable datasets.</w:t>
              <w:br/>
              <w:t>• Record source, date accessed, variables, filters, and limitations.</w:t>
              <w:br/>
              <w:t>• Check whether data are anonymous and appropriate.</w:t>
              <w:br/>
              <w:t>• Do not overclaim causation from correlation.</w:t>
              <w:br/>
              <w:t>• Document cleaning decisions.</w:t>
            </w:r>
          </w:p>
        </w:tc>
        <w:tc>
          <w:tcPr>
            <w:tcW w:type="dxa" w:w="4464"/>
            <w:vAlign w:val="top"/>
          </w:tcPr>
          <w:p>
            <w:pPr>
              <w:spacing w:after="0" w:before="0" w:line="240" w:lineRule="auto"/>
            </w:pPr>
            <w:r>
              <w:rPr>
                <w:sz w:val="15"/>
              </w:rPr>
            </w:r>
            <w:r>
              <w:rPr>
                <w:b w:val="0"/>
                <w:color w:val="000000"/>
                <w:sz w:val="15"/>
              </w:rPr>
              <w:t>• Datasets containing private or identifiable information</w:t>
              <w:br/>
              <w:t>• Sensitive health, student, or personal data</w:t>
              <w:br/>
              <w:t>• Unclear data ownership</w:t>
              <w:br/>
              <w:t>• Biased or misleading datasets without discussion</w:t>
            </w:r>
          </w:p>
        </w:tc>
        <w:tc>
          <w:tcPr>
            <w:tcW w:type="dxa" w:w="3600"/>
            <w:vAlign w:val="top"/>
          </w:tcPr>
          <w:p>
            <w:pPr>
              <w:spacing w:after="0" w:before="0" w:line="240" w:lineRule="auto"/>
            </w:pPr>
            <w:r>
              <w:rPr>
                <w:sz w:val="15"/>
              </w:rPr>
            </w:r>
            <w:r>
              <w:rPr>
                <w:b w:val="0"/>
                <w:color w:val="000000"/>
                <w:sz w:val="15"/>
              </w:rPr>
              <w:t>Usually Level 1. Move to Level 3 if data are sensitive, identifiable, restricted, or ethically complicated.</w:t>
            </w:r>
          </w:p>
        </w:tc>
      </w:tr>
    </w:tbl>
    <w:p/>
    <w:p>
      <w:pPr>
        <w:pStyle w:val="Heading2"/>
      </w:pPr>
      <w:r>
        <w:t>Food, Ingestion, and Consumer Product Testing</w:t>
      </w:r>
    </w:p>
    <w:p>
      <w:r>
        <w:t>Examples students may propose include taste tests, drink comparisons, supplement effects, food spoilage, or product performance.</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456"/>
        <w:gridCol w:w="3456"/>
        <w:gridCol w:w="3456"/>
      </w:tblGrid>
      <w:tr>
        <w:tc>
          <w:tcPr>
            <w:tcW w:type="dxa" w:w="4464"/>
            <w:shd w:fill="111111"/>
            <w:vAlign w:val="top"/>
          </w:tcPr>
          <w:p>
            <w:pPr>
              <w:spacing w:after="0" w:before="0" w:line="240" w:lineRule="auto"/>
            </w:pPr>
            <w:r>
              <w:rPr>
                <w:sz w:val="16"/>
              </w:rPr>
            </w:r>
            <w:r>
              <w:rPr>
                <w:b/>
                <w:color w:val="FFFFFF"/>
                <w:sz w:val="16"/>
              </w:rPr>
              <w:t>Teacher Should Require</w:t>
            </w:r>
          </w:p>
        </w:tc>
        <w:tc>
          <w:tcPr>
            <w:tcW w:type="dxa" w:w="4464"/>
            <w:shd w:fill="111111"/>
            <w:vAlign w:val="top"/>
          </w:tcPr>
          <w:p>
            <w:pPr>
              <w:spacing w:after="0" w:before="0" w:line="240" w:lineRule="auto"/>
            </w:pPr>
            <w:r>
              <w:rPr>
                <w:sz w:val="16"/>
              </w:rPr>
            </w:r>
            <w:r>
              <w:rPr>
                <w:b/>
                <w:color w:val="FFFFFF"/>
                <w:sz w:val="16"/>
              </w:rPr>
              <w:t>Pause / Red Flag If</w:t>
            </w:r>
          </w:p>
        </w:tc>
        <w:tc>
          <w:tcPr>
            <w:tcW w:type="dxa" w:w="3600"/>
            <w:shd w:fill="111111"/>
            <w:vAlign w:val="top"/>
          </w:tcPr>
          <w:p>
            <w:pPr>
              <w:spacing w:after="0" w:before="0" w:line="240" w:lineRule="auto"/>
            </w:pPr>
            <w:r>
              <w:rPr>
                <w:sz w:val="16"/>
              </w:rPr>
            </w:r>
            <w:r>
              <w:rPr>
                <w:b/>
                <w:color w:val="FFFFFF"/>
                <w:sz w:val="16"/>
              </w:rPr>
              <w:t>Typical Scope Level</w:t>
            </w:r>
          </w:p>
        </w:tc>
        <w:trPr>
          <w:tblHeader/>
        </w:trPr>
      </w:tr>
      <w:tr>
        <w:tc>
          <w:tcPr>
            <w:tcW w:type="dxa" w:w="4464"/>
            <w:vAlign w:val="top"/>
            <w:shd w:fill="F2F2F2"/>
          </w:tcPr>
          <w:p>
            <w:pPr>
              <w:spacing w:after="0" w:before="0" w:line="240" w:lineRule="auto"/>
            </w:pPr>
            <w:r>
              <w:rPr>
                <w:b/>
                <w:sz w:val="15"/>
              </w:rPr>
            </w:r>
            <w:r>
              <w:rPr>
                <w:b/>
                <w:color w:val="000000"/>
                <w:sz w:val="15"/>
              </w:rPr>
              <w:t>• Avoid ingestion-based testing unless formally approved.</w:t>
              <w:br/>
              <w:t>• Do not ask participants to consume substances for research.</w:t>
              <w:br/>
              <w:t>• Use non-ingestion product testing when possible, such as packaging strength, temperature retention, or pH of sealed samples handled safely.</w:t>
            </w:r>
          </w:p>
        </w:tc>
        <w:tc>
          <w:tcPr>
            <w:tcW w:type="dxa" w:w="4464"/>
            <w:vAlign w:val="top"/>
          </w:tcPr>
          <w:p>
            <w:pPr>
              <w:spacing w:after="0" w:before="0" w:line="240" w:lineRule="auto"/>
            </w:pPr>
            <w:r>
              <w:rPr>
                <w:sz w:val="15"/>
              </w:rPr>
            </w:r>
            <w:r>
              <w:rPr>
                <w:b w:val="0"/>
                <w:color w:val="000000"/>
                <w:sz w:val="15"/>
              </w:rPr>
              <w:t>• Taste tests with students</w:t>
              <w:br/>
              <w:t>• Testing caffeine, supplements, or diets</w:t>
              <w:br/>
              <w:t>• Food spoilage/mold growth</w:t>
              <w:br/>
              <w:t>• Allergy risks</w:t>
              <w:br/>
              <w:t>• Medical or health claims</w:t>
            </w:r>
          </w:p>
        </w:tc>
        <w:tc>
          <w:tcPr>
            <w:tcW w:type="dxa" w:w="3600"/>
            <w:vAlign w:val="top"/>
          </w:tcPr>
          <w:p>
            <w:pPr>
              <w:spacing w:after="0" w:before="0" w:line="240" w:lineRule="auto"/>
            </w:pPr>
            <w:r>
              <w:rPr>
                <w:sz w:val="15"/>
              </w:rPr>
            </w:r>
            <w:r>
              <w:rPr>
                <w:b w:val="0"/>
                <w:color w:val="000000"/>
                <w:sz w:val="15"/>
              </w:rPr>
              <w:t>Often Level 3 or not approved in current form. Redirect to packaging, physical properties, public nutrition data, or non-human model systems.</w:t>
            </w:r>
          </w:p>
        </w:tc>
      </w:tr>
    </w:tbl>
    <w:p/>
    <w:p>
      <w:pPr>
        <w:pStyle w:val="Heading2"/>
      </w:pPr>
      <w:r>
        <w:t>Optics, Lasers, Heat, Pressure, and Physical Hazards</w:t>
      </w:r>
    </w:p>
    <w:p>
      <w:r>
        <w:t>Examples include lenses, mirrors, light sensors, thermal insulation, pressure demonstrations, vacuum chambers, or structural failure tests.</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456"/>
        <w:gridCol w:w="3456"/>
        <w:gridCol w:w="3456"/>
      </w:tblGrid>
      <w:tr>
        <w:tc>
          <w:tcPr>
            <w:tcW w:type="dxa" w:w="4464"/>
            <w:shd w:fill="111111"/>
            <w:vAlign w:val="top"/>
          </w:tcPr>
          <w:p>
            <w:pPr>
              <w:spacing w:after="0" w:before="0" w:line="240" w:lineRule="auto"/>
            </w:pPr>
            <w:r>
              <w:rPr>
                <w:sz w:val="16"/>
              </w:rPr>
            </w:r>
            <w:r>
              <w:rPr>
                <w:b/>
                <w:color w:val="FFFFFF"/>
                <w:sz w:val="16"/>
              </w:rPr>
              <w:t>Teacher Should Require</w:t>
            </w:r>
          </w:p>
        </w:tc>
        <w:tc>
          <w:tcPr>
            <w:tcW w:type="dxa" w:w="4464"/>
            <w:shd w:fill="111111"/>
            <w:vAlign w:val="top"/>
          </w:tcPr>
          <w:p>
            <w:pPr>
              <w:spacing w:after="0" w:before="0" w:line="240" w:lineRule="auto"/>
            </w:pPr>
            <w:r>
              <w:rPr>
                <w:sz w:val="16"/>
              </w:rPr>
            </w:r>
            <w:r>
              <w:rPr>
                <w:b/>
                <w:color w:val="FFFFFF"/>
                <w:sz w:val="16"/>
              </w:rPr>
              <w:t>Pause / Red Flag If</w:t>
            </w:r>
          </w:p>
        </w:tc>
        <w:tc>
          <w:tcPr>
            <w:tcW w:type="dxa" w:w="3600"/>
            <w:shd w:fill="111111"/>
            <w:vAlign w:val="top"/>
          </w:tcPr>
          <w:p>
            <w:pPr>
              <w:spacing w:after="0" w:before="0" w:line="240" w:lineRule="auto"/>
            </w:pPr>
            <w:r>
              <w:rPr>
                <w:sz w:val="16"/>
              </w:rPr>
            </w:r>
            <w:r>
              <w:rPr>
                <w:b/>
                <w:color w:val="FFFFFF"/>
                <w:sz w:val="16"/>
              </w:rPr>
              <w:t>Typical Scope Level</w:t>
            </w:r>
          </w:p>
        </w:tc>
        <w:trPr>
          <w:tblHeader/>
        </w:trPr>
      </w:tr>
      <w:tr>
        <w:tc>
          <w:tcPr>
            <w:tcW w:type="dxa" w:w="4464"/>
            <w:vAlign w:val="top"/>
            <w:shd w:fill="F2F2F2"/>
          </w:tcPr>
          <w:p>
            <w:pPr>
              <w:spacing w:after="0" w:before="0" w:line="240" w:lineRule="auto"/>
            </w:pPr>
            <w:r>
              <w:rPr>
                <w:b/>
                <w:sz w:val="15"/>
              </w:rPr>
            </w:r>
            <w:r>
              <w:rPr>
                <w:b/>
                <w:color w:val="000000"/>
                <w:sz w:val="15"/>
              </w:rPr>
              <w:t>• Use low-power classroom-safe light sources when possible.</w:t>
              <w:br/>
              <w:t>• Never aim lasers at eyes or reflective hazards.</w:t>
              <w:br/>
              <w:t>• Use heat sources only with supervision.</w:t>
              <w:br/>
              <w:t>• Avoid sealed pressure vessels unless formally approved.</w:t>
              <w:br/>
              <w:t>• Use shields for breakage or collapse tests.</w:t>
            </w:r>
          </w:p>
        </w:tc>
        <w:tc>
          <w:tcPr>
            <w:tcW w:type="dxa" w:w="4464"/>
            <w:vAlign w:val="top"/>
          </w:tcPr>
          <w:p>
            <w:pPr>
              <w:spacing w:after="0" w:before="0" w:line="240" w:lineRule="auto"/>
            </w:pPr>
            <w:r>
              <w:rPr>
                <w:sz w:val="15"/>
              </w:rPr>
            </w:r>
            <w:r>
              <w:rPr>
                <w:b w:val="0"/>
                <w:color w:val="000000"/>
                <w:sz w:val="15"/>
              </w:rPr>
              <w:t>• High-power lasers</w:t>
              <w:br/>
              <w:t>• Flames or hot plates without supervision</w:t>
              <w:br/>
              <w:t>• Pressure vessels</w:t>
              <w:br/>
              <w:t>• Vacuum implosion risks</w:t>
              <w:br/>
              <w:t>• Glass breakage</w:t>
              <w:br/>
              <w:t>• Heavy falling objects</w:t>
            </w:r>
          </w:p>
        </w:tc>
        <w:tc>
          <w:tcPr>
            <w:tcW w:type="dxa" w:w="3600"/>
            <w:vAlign w:val="top"/>
          </w:tcPr>
          <w:p>
            <w:pPr>
              <w:spacing w:after="0" w:before="0" w:line="240" w:lineRule="auto"/>
            </w:pPr>
            <w:r>
              <w:rPr>
                <w:sz w:val="15"/>
              </w:rPr>
            </w:r>
            <w:r>
              <w:rPr>
                <w:b w:val="0"/>
                <w:color w:val="000000"/>
                <w:sz w:val="15"/>
              </w:rPr>
              <w:t>Usually Level 2 or 3 depending on energy involved. High-energy light, heat, pressure, or collapse hazards require strict controls or redesign.</w:t>
            </w:r>
          </w:p>
        </w:tc>
      </w:tr>
    </w:tbl>
    <w:p/>
    <w:p>
      <w:r>
        <w:br w:type="page"/>
      </w:r>
    </w:p>
    <w:p>
      <w:pPr>
        <w:pStyle w:val="Heading1"/>
      </w:pPr>
      <w:r>
        <w:t>Safer Redesign Options</w:t>
      </w:r>
    </w:p>
    <w:p>
      <w:pPr>
        <w:spacing w:before="40" w:after="120"/>
        <w:pBdr>
          <w:bottom w:val="single" w:sz="8" w:space="1" w:color="E31B23"/>
        </w:pBdr>
      </w:pPr>
    </w:p>
    <w:p>
      <w:r>
        <w:t>When a student proposes a project that is unsafe, unrealistic, or not approvable in the current setting, preserve the curiosity while changing the method. Use the options below to help students keep the intellectual purpose without keeping the unsafe procedure.</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184"/>
        <w:gridCol w:w="5184"/>
      </w:tblGrid>
      <w:tr>
        <w:tc>
          <w:tcPr>
            <w:tcW w:type="dxa" w:w="5040"/>
            <w:shd w:fill="E31B23"/>
            <w:vAlign w:val="top"/>
          </w:tcPr>
          <w:p>
            <w:pPr>
              <w:spacing w:after="0"/>
            </w:pPr>
            <w:r/>
            <w:r>
              <w:rPr>
                <w:b/>
                <w:color w:val="FFFFFF"/>
                <w:sz w:val="17"/>
              </w:rPr>
              <w:t>Original Risky Direction</w:t>
            </w:r>
          </w:p>
        </w:tc>
        <w:tc>
          <w:tcPr>
            <w:tcW w:type="dxa" w:w="7488"/>
            <w:shd w:fill="E31B23"/>
            <w:vAlign w:val="top"/>
          </w:tcPr>
          <w:p>
            <w:pPr>
              <w:spacing w:after="0"/>
            </w:pPr>
            <w:r/>
            <w:r>
              <w:rPr>
                <w:b/>
                <w:color w:val="FFFFFF"/>
                <w:sz w:val="17"/>
              </w:rPr>
              <w:t>Safer STARLAB Redesign</w:t>
            </w:r>
          </w:p>
        </w:tc>
        <w:trPr>
          <w:tblHeader/>
        </w:trPr>
      </w:tr>
      <w:tr>
        <w:tc>
          <w:tcPr>
            <w:tcW w:type="dxa" w:w="5040"/>
            <w:vAlign w:val="top"/>
            <w:shd w:fill="F2F2F2"/>
          </w:tcPr>
          <w:p>
            <w:pPr>
              <w:spacing w:after="0"/>
            </w:pPr>
            <w:r>
              <w:rPr>
                <w:b/>
              </w:rPr>
            </w:r>
            <w:r>
              <w:rPr>
                <w:b/>
                <w:color w:val="000000"/>
                <w:sz w:val="16"/>
              </w:rPr>
              <w:t>Testing bacteria from school surfaces</w:t>
            </w:r>
          </w:p>
        </w:tc>
        <w:tc>
          <w:tcPr>
            <w:tcW w:type="dxa" w:w="7488"/>
            <w:vAlign w:val="top"/>
          </w:tcPr>
          <w:p>
            <w:pPr>
              <w:spacing w:after="0"/>
            </w:pPr>
            <w:r/>
            <w:r>
              <w:rPr>
                <w:b w:val="0"/>
                <w:color w:val="000000"/>
                <w:sz w:val="16"/>
              </w:rPr>
              <w:t>Analyze teacher-provided images of cultures, use published microbial datasets, compare cleaning product claims through literature, or test non-biological cleanliness indicators if approved.</w:t>
            </w:r>
          </w:p>
        </w:tc>
      </w:tr>
      <w:tr>
        <w:tc>
          <w:tcPr>
            <w:tcW w:type="dxa" w:w="5040"/>
            <w:vAlign w:val="top"/>
            <w:shd w:fill="F2F2F2"/>
          </w:tcPr>
          <w:p>
            <w:pPr>
              <w:spacing w:after="0"/>
            </w:pPr>
            <w:r>
              <w:rPr>
                <w:b/>
              </w:rPr>
            </w:r>
            <w:r>
              <w:rPr>
                <w:b/>
                <w:color w:val="000000"/>
                <w:sz w:val="16"/>
              </w:rPr>
              <w:t>Testing caffeine, supplements, sleep deprivation, or exercise effects on students</w:t>
            </w:r>
          </w:p>
        </w:tc>
        <w:tc>
          <w:tcPr>
            <w:tcW w:type="dxa" w:w="7488"/>
            <w:vAlign w:val="top"/>
          </w:tcPr>
          <w:p>
            <w:pPr>
              <w:spacing w:after="0"/>
            </w:pPr>
            <w:r/>
            <w:r>
              <w:rPr>
                <w:b w:val="0"/>
                <w:color w:val="000000"/>
                <w:sz w:val="16"/>
              </w:rPr>
              <w:t>Use public datasets, conduct a literature-based analysis, design a wellness app prototype, or analyze non-sensitive anonymized sample data provided by the teacher.</w:t>
            </w:r>
          </w:p>
        </w:tc>
      </w:tr>
      <w:tr>
        <w:tc>
          <w:tcPr>
            <w:tcW w:type="dxa" w:w="5040"/>
            <w:vAlign w:val="top"/>
            <w:shd w:fill="F2F2F2"/>
          </w:tcPr>
          <w:p>
            <w:pPr>
              <w:spacing w:after="0"/>
            </w:pPr>
            <w:r>
              <w:rPr>
                <w:b/>
              </w:rPr>
            </w:r>
            <w:r>
              <w:rPr>
                <w:b/>
                <w:color w:val="000000"/>
                <w:sz w:val="16"/>
              </w:rPr>
              <w:t>Building a projectile launcher</w:t>
            </w:r>
          </w:p>
        </w:tc>
        <w:tc>
          <w:tcPr>
            <w:tcW w:type="dxa" w:w="7488"/>
            <w:vAlign w:val="top"/>
          </w:tcPr>
          <w:p>
            <w:pPr>
              <w:spacing w:after="0"/>
            </w:pPr>
            <w:r/>
            <w:r>
              <w:rPr>
                <w:b w:val="0"/>
                <w:color w:val="000000"/>
                <w:sz w:val="16"/>
              </w:rPr>
              <w:t>Use a low-energy spring model with strict limits, video analysis of approved motion, a simulation, or an engineering design report focused on safety constraints.</w:t>
            </w:r>
          </w:p>
        </w:tc>
      </w:tr>
      <w:tr>
        <w:tc>
          <w:tcPr>
            <w:tcW w:type="dxa" w:w="5040"/>
            <w:vAlign w:val="top"/>
            <w:shd w:fill="F2F2F2"/>
          </w:tcPr>
          <w:p>
            <w:pPr>
              <w:spacing w:after="0"/>
            </w:pPr>
            <w:r>
              <w:rPr>
                <w:b/>
              </w:rPr>
            </w:r>
            <w:r>
              <w:rPr>
                <w:b/>
                <w:color w:val="000000"/>
                <w:sz w:val="16"/>
              </w:rPr>
              <w:t>Surveying sensitive student topics</w:t>
            </w:r>
          </w:p>
        </w:tc>
        <w:tc>
          <w:tcPr>
            <w:tcW w:type="dxa" w:w="7488"/>
            <w:vAlign w:val="top"/>
          </w:tcPr>
          <w:p>
            <w:pPr>
              <w:spacing w:after="0"/>
            </w:pPr>
            <w:r/>
            <w:r>
              <w:rPr>
                <w:b w:val="0"/>
                <w:color w:val="000000"/>
                <w:sz w:val="16"/>
              </w:rPr>
              <w:t>Use non-sensitive questions, public anonymous datasets, or a design project that creates a resource without collecting private information.</w:t>
            </w:r>
          </w:p>
        </w:tc>
      </w:tr>
      <w:tr>
        <w:tc>
          <w:tcPr>
            <w:tcW w:type="dxa" w:w="5040"/>
            <w:vAlign w:val="top"/>
            <w:shd w:fill="F2F2F2"/>
          </w:tcPr>
          <w:p>
            <w:pPr>
              <w:spacing w:after="0"/>
            </w:pPr>
            <w:r>
              <w:rPr>
                <w:b/>
              </w:rPr>
            </w:r>
            <w:r>
              <w:rPr>
                <w:b/>
                <w:color w:val="000000"/>
                <w:sz w:val="16"/>
              </w:rPr>
              <w:t>Using unknown chemicals or mixtures</w:t>
            </w:r>
          </w:p>
        </w:tc>
        <w:tc>
          <w:tcPr>
            <w:tcW w:type="dxa" w:w="7488"/>
            <w:vAlign w:val="top"/>
          </w:tcPr>
          <w:p>
            <w:pPr>
              <w:spacing w:after="0"/>
            </w:pPr>
            <w:r/>
            <w:r>
              <w:rPr>
                <w:b w:val="0"/>
                <w:color w:val="000000"/>
                <w:sz w:val="16"/>
              </w:rPr>
              <w:t>Use known school-approved materials, microscale quantities, simulations, or materials property comparisons that avoid hazardous reactions.</w:t>
            </w:r>
          </w:p>
        </w:tc>
      </w:tr>
      <w:tr>
        <w:tc>
          <w:tcPr>
            <w:tcW w:type="dxa" w:w="5040"/>
            <w:vAlign w:val="top"/>
            <w:shd w:fill="F2F2F2"/>
          </w:tcPr>
          <w:p>
            <w:pPr>
              <w:spacing w:after="0"/>
            </w:pPr>
            <w:r>
              <w:rPr>
                <w:b/>
              </w:rPr>
            </w:r>
            <w:r>
              <w:rPr>
                <w:b/>
                <w:color w:val="000000"/>
                <w:sz w:val="16"/>
              </w:rPr>
              <w:t>Testing animals or pets</w:t>
            </w:r>
          </w:p>
        </w:tc>
        <w:tc>
          <w:tcPr>
            <w:tcW w:type="dxa" w:w="7488"/>
            <w:vAlign w:val="top"/>
          </w:tcPr>
          <w:p>
            <w:pPr>
              <w:spacing w:after="0"/>
            </w:pPr>
            <w:r/>
            <w:r>
              <w:rPr>
                <w:b w:val="0"/>
                <w:color w:val="000000"/>
                <w:sz w:val="16"/>
              </w:rPr>
              <w:t>Use existing public behavioral datasets, videos, habitat modeling, or animal-free design criteria.</w:t>
            </w:r>
          </w:p>
        </w:tc>
      </w:tr>
      <w:tr>
        <w:tc>
          <w:tcPr>
            <w:tcW w:type="dxa" w:w="5040"/>
            <w:vAlign w:val="top"/>
            <w:shd w:fill="F2F2F2"/>
          </w:tcPr>
          <w:p>
            <w:pPr>
              <w:spacing w:after="0"/>
            </w:pPr>
            <w:r>
              <w:rPr>
                <w:b/>
              </w:rPr>
            </w:r>
            <w:r>
              <w:rPr>
                <w:b/>
                <w:color w:val="000000"/>
                <w:sz w:val="16"/>
              </w:rPr>
              <w:t>Collecting water/soil from unknown sites and culturing it</w:t>
            </w:r>
          </w:p>
        </w:tc>
        <w:tc>
          <w:tcPr>
            <w:tcW w:type="dxa" w:w="7488"/>
            <w:vAlign w:val="top"/>
          </w:tcPr>
          <w:p>
            <w:pPr>
              <w:spacing w:after="0"/>
            </w:pPr>
            <w:r/>
            <w:r>
              <w:rPr>
                <w:b w:val="0"/>
                <w:color w:val="000000"/>
                <w:sz w:val="16"/>
              </w:rPr>
              <w:t>Use sensor-based measurements only, approved water chemistry kits, public environmental datasets, or teacher-provided safe samples.</w:t>
            </w:r>
          </w:p>
        </w:tc>
      </w:tr>
    </w:tbl>
    <w:p/>
    <w:p>
      <w:pPr>
        <w:pStyle w:val="Heading1"/>
      </w:pPr>
      <w:r>
        <w:t>Approval Workflow for New Teachers</w:t>
      </w:r>
    </w:p>
    <w:p>
      <w:pPr>
        <w:spacing w:before="40" w:after="120"/>
        <w:pBdr>
          <w:bottom w:val="single" w:sz="8" w:space="1" w:color="E31B23"/>
        </w:pBdr>
      </w:pPr>
    </w:p>
    <w:p>
      <w:pPr>
        <w:pStyle w:val="ListBullet"/>
      </w:pPr>
      <w:r>
        <w:t>1. Student submits project idea, intended method, materials, data type, and location of work.</w:t>
      </w:r>
    </w:p>
    <w:p>
      <w:pPr>
        <w:pStyle w:val="ListBullet"/>
      </w:pPr>
      <w:r>
        <w:t>2. Teacher identifies project type and highest applicable scope level.</w:t>
      </w:r>
    </w:p>
    <w:p>
      <w:pPr>
        <w:pStyle w:val="ListBullet"/>
      </w:pPr>
      <w:r>
        <w:t>3. Student completes safety, ethics, and approval screening forms.</w:t>
      </w:r>
    </w:p>
    <w:p>
      <w:pPr>
        <w:pStyle w:val="ListBullet"/>
      </w:pPr>
      <w:r>
        <w:t>4. Teacher determines approval status and records it in the project tracker.</w:t>
      </w:r>
    </w:p>
    <w:p>
      <w:pPr>
        <w:pStyle w:val="ListBullet"/>
      </w:pPr>
      <w:r>
        <w:t>5. Student may begin only the approved next step. Planning approval does not equal testing approval.</w:t>
      </w:r>
    </w:p>
    <w:p>
      <w:pPr>
        <w:pStyle w:val="ListBullet"/>
      </w:pPr>
      <w:r>
        <w:t>6. Any major change to materials, procedure, location, participants, data source, equipment, or risk level requires re-approval.</w:t>
      </w:r>
    </w:p>
    <w:p>
      <w:pPr>
        <w:pStyle w:val="Heading1"/>
      </w:pPr>
      <w:r>
        <w:t>Approval Status Language</w:t>
      </w:r>
    </w:p>
    <w:p>
      <w:pPr>
        <w:spacing w:before="40" w:after="120"/>
        <w:pBdr>
          <w:bottom w:val="single" w:sz="8" w:space="1" w:color="E31B23"/>
        </w:pBdr>
      </w:pP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456"/>
        <w:gridCol w:w="3456"/>
        <w:gridCol w:w="3456"/>
      </w:tblGrid>
      <w:tr>
        <w:tc>
          <w:tcPr>
            <w:tcW w:type="dxa" w:w="2880"/>
            <w:shd w:fill="E31B23"/>
            <w:vAlign w:val="top"/>
          </w:tcPr>
          <w:p>
            <w:pPr>
              <w:spacing w:after="0"/>
            </w:pPr>
            <w:r/>
            <w:r>
              <w:rPr>
                <w:b/>
                <w:color w:val="FFFFFF"/>
                <w:sz w:val="17"/>
              </w:rPr>
              <w:t>Status</w:t>
            </w:r>
          </w:p>
        </w:tc>
        <w:tc>
          <w:tcPr>
            <w:tcW w:type="dxa" w:w="4464"/>
            <w:shd w:fill="E31B23"/>
            <w:vAlign w:val="top"/>
          </w:tcPr>
          <w:p>
            <w:pPr>
              <w:spacing w:after="0"/>
            </w:pPr>
            <w:r/>
            <w:r>
              <w:rPr>
                <w:b/>
                <w:color w:val="FFFFFF"/>
                <w:sz w:val="17"/>
              </w:rPr>
              <w:t>Meaning</w:t>
            </w:r>
          </w:p>
        </w:tc>
        <w:tc>
          <w:tcPr>
            <w:tcW w:type="dxa" w:w="5184"/>
            <w:shd w:fill="E31B23"/>
            <w:vAlign w:val="top"/>
          </w:tcPr>
          <w:p>
            <w:pPr>
              <w:spacing w:after="0"/>
            </w:pPr>
            <w:r/>
            <w:r>
              <w:rPr>
                <w:b/>
                <w:color w:val="FFFFFF"/>
                <w:sz w:val="17"/>
              </w:rPr>
              <w:t>Teacher Language</w:t>
            </w:r>
          </w:p>
        </w:tc>
        <w:trPr>
          <w:tblHeader/>
        </w:trPr>
      </w:tr>
      <w:tr>
        <w:tc>
          <w:tcPr>
            <w:tcW w:type="dxa" w:w="3456"/>
          </w:tcPr>
          <w:p>
            <w:r>
              <w:t>Approved for Pilot Testing</w:t>
            </w:r>
          </w:p>
        </w:tc>
        <w:tc>
          <w:tcPr>
            <w:tcW w:type="dxa" w:w="3456"/>
          </w:tcPr>
          <w:p>
            <w:r>
              <w:t>Student may run only the specific small-scale pilot test described in the approved plan.</w:t>
            </w:r>
          </w:p>
        </w:tc>
        <w:tc>
          <w:tcPr>
            <w:tcW w:type="dxa" w:w="3456"/>
          </w:tcPr>
          <w:p>
            <w:r>
              <w:t>Record approval, confirm supervision and controls, and set a pilot-reflection date.</w:t>
            </w:r>
          </w:p>
        </w:tc>
      </w:tr>
      <w:tr>
        <w:tc>
          <w:tcPr>
            <w:tcW w:type="dxa" w:w="3456"/>
          </w:tcPr>
          <w:p>
            <w:r>
              <w:t>Approved With Modifications</w:t>
            </w:r>
          </w:p>
        </w:tc>
        <w:tc>
          <w:tcPr>
            <w:tcW w:type="dxa" w:w="3456"/>
          </w:tcPr>
          <w:p>
            <w:r>
              <w:t>The project may advance only after named changes are completed and verified; this status does not by itself authorize testing.</w:t>
            </w:r>
          </w:p>
        </w:tc>
        <w:tc>
          <w:tcPr>
            <w:tcW w:type="dxa" w:w="3456"/>
          </w:tcPr>
          <w:p>
            <w:r>
              <w:t>List the required changes and verify them before changing the status to Approved for Pilot Testing.</w:t>
            </w:r>
          </w:p>
        </w:tc>
      </w:tr>
      <w:tr>
        <w:tc>
          <w:tcPr>
            <w:tcW w:type="dxa" w:w="3456"/>
          </w:tcPr>
          <w:p>
            <w:r>
              <w:t>Needs Revision</w:t>
            </w:r>
          </w:p>
        </w:tc>
        <w:tc>
          <w:tcPr>
            <w:tcW w:type="dxa" w:w="3456"/>
          </w:tcPr>
          <w:p>
            <w:r>
              <w:t>The plan is not yet clear, feasible, measurable, or complete enough for approval.</w:t>
            </w:r>
          </w:p>
        </w:tc>
        <w:tc>
          <w:tcPr>
            <w:tcW w:type="dxa" w:w="3456"/>
          </w:tcPr>
          <w:p>
            <w:r>
              <w:t>Return the student to the relevant planning documents and schedule a follow-up conference.</w:t>
            </w:r>
          </w:p>
        </w:tc>
      </w:tr>
      <w:tr>
        <w:tc>
          <w:tcPr>
            <w:tcW w:type="dxa" w:w="3456"/>
          </w:tcPr>
          <w:p>
            <w:r>
              <w:t>Needs Safety Review</w:t>
            </w:r>
          </w:p>
        </w:tc>
        <w:tc>
          <w:tcPr>
            <w:tcW w:type="dxa" w:w="3456"/>
          </w:tcPr>
          <w:p>
            <w:r>
              <w:t>Hazards require additional controls, supervision, training, PPE, location review, or district guidance.</w:t>
            </w:r>
          </w:p>
        </w:tc>
        <w:tc>
          <w:tcPr>
            <w:tcW w:type="dxa" w:w="3456"/>
          </w:tcPr>
          <w:p>
            <w:r>
              <w:t>Pause testing and identify the required safety review and district-supplied forms.</w:t>
            </w:r>
          </w:p>
        </w:tc>
      </w:tr>
      <w:tr>
        <w:tc>
          <w:tcPr>
            <w:tcW w:type="dxa" w:w="3456"/>
          </w:tcPr>
          <w:p>
            <w:r>
              <w:t>Needs Ethics Review</w:t>
            </w:r>
          </w:p>
        </w:tc>
        <w:tc>
          <w:tcPr>
            <w:tcW w:type="dxa" w:w="3456"/>
          </w:tcPr>
          <w:p>
            <w:r>
              <w:t>The project involves people, animals, privacy, biological materials, environmental impact, or sensitive data.</w:t>
            </w:r>
          </w:p>
        </w:tc>
        <w:tc>
          <w:tcPr>
            <w:tcW w:type="dxa" w:w="3456"/>
          </w:tcPr>
          <w:p>
            <w:r>
              <w:t>Pause data collection and complete required ethics, consent, privacy, or district review.</w:t>
            </w:r>
          </w:p>
        </w:tc>
      </w:tr>
      <w:tr>
        <w:tc>
          <w:tcPr>
            <w:tcW w:type="dxa" w:w="3456"/>
          </w:tcPr>
          <w:p>
            <w:r>
              <w:t>Needs Mentor Review</w:t>
            </w:r>
          </w:p>
        </w:tc>
        <w:tc>
          <w:tcPr>
            <w:tcW w:type="dxa" w:w="3456"/>
          </w:tcPr>
          <w:p>
            <w:r>
              <w:t>Technical expertise is needed before the teacher can make the next approval decision.</w:t>
            </w:r>
          </w:p>
        </w:tc>
        <w:tc>
          <w:tcPr>
            <w:tcW w:type="dxa" w:w="3456"/>
          </w:tcPr>
          <w:p>
            <w:r>
              <w:t>Obtain focused mentor feedback; the mentor does not grant STARLAB approval.</w:t>
            </w:r>
          </w:p>
        </w:tc>
      </w:tr>
      <w:tr>
        <w:tc>
          <w:tcPr>
            <w:tcW w:type="dxa" w:w="3456"/>
          </w:tcPr>
          <w:p>
            <w:r>
              <w:t>Not Approved in Current Form</w:t>
            </w:r>
          </w:p>
        </w:tc>
        <w:tc>
          <w:tcPr>
            <w:tcW w:type="dxa" w:w="3456"/>
          </w:tcPr>
          <w:p>
            <w:r>
              <w:t>The proposed method cannot proceed because of risk, ethics, feasibility, or an inadequate evidence plan.</w:t>
            </w:r>
          </w:p>
        </w:tc>
        <w:tc>
          <w:tcPr>
            <w:tcW w:type="dxa" w:w="3456"/>
          </w:tcPr>
          <w:p>
            <w:r>
              <w:t>Redirect the question toward a safer, smaller, simulated, public-data, or redesigned version.</w:t>
            </w:r>
          </w:p>
        </w:tc>
      </w:tr>
      <w:tr>
        <w:tc>
          <w:tcPr>
            <w:tcW w:type="dxa" w:w="3456"/>
          </w:tcPr>
          <w:p>
            <w:r>
              <w:t>Approved for Systematic Data Collection</w:t>
            </w:r>
          </w:p>
        </w:tc>
        <w:tc>
          <w:tcPr>
            <w:tcW w:type="dxa" w:w="3456"/>
          </w:tcPr>
          <w:p>
            <w:r>
              <w:t>The approved pilot supports the method and the teacher has authorized full data collection within the documented scope.</w:t>
            </w:r>
          </w:p>
        </w:tc>
        <w:tc>
          <w:tcPr>
            <w:tcW w:type="dxa" w:w="3456"/>
          </w:tcPr>
          <w:p>
            <w:r>
              <w:t>Record the decision and continue monitoring changes, risks, and documentation.</w:t>
            </w:r>
          </w:p>
        </w:tc>
      </w:tr>
    </w:tbl>
    <w:p/>
    <w:p>
      <w:pPr>
        <w:pStyle w:val="Heading1"/>
      </w:pPr>
      <w:r>
        <w:t>Quick Reference Matrix</w:t>
      </w:r>
    </w:p>
    <w:p>
      <w:pPr>
        <w:spacing w:before="40" w:after="80"/>
      </w:pPr>
      <w:r>
        <w:rPr>
          <w:b/>
          <w:color w:val="EB0000"/>
          <w:sz w:val="19"/>
        </w:rPr>
        <w:t>District forms are supplied locally. Use this matrix to identify when district IRB/SRC, consent, media-release, fieldwork, equipment, chemical, drone, data-privacy, or other forms are required.</w:t>
      </w:r>
    </w:p>
    <w:p>
      <w:pPr>
        <w:spacing w:before="40" w:after="120"/>
        <w:pBdr>
          <w:bottom w:val="single" w:sz="8" w:space="1" w:color="E31B23"/>
        </w:pBdr>
      </w:pP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456"/>
        <w:gridCol w:w="3456"/>
        <w:gridCol w:w="3456"/>
      </w:tblGrid>
      <w:tr>
        <w:tc>
          <w:tcPr>
            <w:tcW w:type="dxa" w:w="3888"/>
            <w:shd w:fill="E31B23"/>
            <w:vAlign w:val="top"/>
          </w:tcPr>
          <w:p>
            <w:pPr>
              <w:spacing w:after="0"/>
            </w:pPr>
            <w:r/>
            <w:r>
              <w:rPr>
                <w:b/>
                <w:color w:val="FFFFFF"/>
                <w:sz w:val="17"/>
              </w:rPr>
              <w:t>Project Type</w:t>
            </w:r>
          </w:p>
        </w:tc>
        <w:tc>
          <w:tcPr>
            <w:tcW w:type="dxa" w:w="1728"/>
            <w:shd w:fill="E31B23"/>
            <w:vAlign w:val="top"/>
          </w:tcPr>
          <w:p>
            <w:pPr>
              <w:spacing w:after="0"/>
            </w:pPr>
            <w:r/>
            <w:r>
              <w:rPr>
                <w:b/>
                <w:color w:val="FFFFFF"/>
                <w:sz w:val="17"/>
              </w:rPr>
              <w:t>Likely Level</w:t>
            </w:r>
          </w:p>
        </w:tc>
        <w:tc>
          <w:tcPr>
            <w:tcW w:type="dxa" w:w="6912"/>
            <w:shd w:fill="E31B23"/>
            <w:vAlign w:val="top"/>
          </w:tcPr>
          <w:p>
            <w:pPr>
              <w:spacing w:after="0"/>
            </w:pPr>
            <w:r/>
            <w:r>
              <w:rPr>
                <w:b/>
                <w:color w:val="FFFFFF"/>
                <w:sz w:val="17"/>
              </w:rPr>
              <w:t>Common Required Printouts / Forms</w:t>
            </w:r>
          </w:p>
        </w:tc>
        <w:trPr>
          <w:tblHeader/>
        </w:trPr>
      </w:tr>
      <w:tr>
        <w:tc>
          <w:tcPr>
            <w:tcW w:type="dxa" w:w="3888"/>
            <w:vAlign w:val="top"/>
            <w:shd w:fill="F2F2F2"/>
          </w:tcPr>
          <w:p>
            <w:pPr>
              <w:spacing w:after="0"/>
            </w:pPr>
            <w:r>
              <w:rPr>
                <w:b/>
              </w:rPr>
            </w:r>
            <w:r>
              <w:rPr>
                <w:b/>
                <w:color w:val="000000"/>
                <w:sz w:val="16"/>
              </w:rPr>
              <w:t>Everyday classroom experiment</w:t>
            </w:r>
          </w:p>
        </w:tc>
        <w:tc>
          <w:tcPr>
            <w:tcW w:type="dxa" w:w="1728"/>
            <w:vAlign w:val="top"/>
          </w:tcPr>
          <w:p>
            <w:pPr>
              <w:spacing w:after="0"/>
            </w:pPr>
            <w:r/>
            <w:r>
              <w:rPr>
                <w:b w:val="0"/>
                <w:color w:val="000000"/>
                <w:sz w:val="16"/>
              </w:rPr>
              <w:t>1</w:t>
            </w:r>
          </w:p>
        </w:tc>
        <w:tc>
          <w:tcPr>
            <w:tcW w:type="dxa" w:w="6912"/>
            <w:vAlign w:val="top"/>
          </w:tcPr>
          <w:p>
            <w:pPr>
              <w:spacing w:after="0"/>
            </w:pPr>
            <w:r/>
            <w:r>
              <w:rPr>
                <w:b w:val="0"/>
                <w:color w:val="000000"/>
                <w:sz w:val="16"/>
              </w:rPr>
              <w:t>Project approval form; basic safety check; data collection plan</w:t>
            </w:r>
          </w:p>
        </w:tc>
      </w:tr>
      <w:tr>
        <w:tc>
          <w:tcPr>
            <w:tcW w:type="dxa" w:w="3888"/>
            <w:vAlign w:val="top"/>
            <w:shd w:fill="F2F2F2"/>
          </w:tcPr>
          <w:p>
            <w:pPr>
              <w:spacing w:after="0"/>
            </w:pPr>
            <w:r>
              <w:rPr>
                <w:b/>
              </w:rPr>
            </w:r>
            <w:r>
              <w:rPr>
                <w:b/>
                <w:color w:val="000000"/>
                <w:sz w:val="16"/>
              </w:rPr>
              <w:t>Plant growth</w:t>
            </w:r>
          </w:p>
        </w:tc>
        <w:tc>
          <w:tcPr>
            <w:tcW w:type="dxa" w:w="1728"/>
            <w:vAlign w:val="top"/>
          </w:tcPr>
          <w:p>
            <w:pPr>
              <w:spacing w:after="0"/>
            </w:pPr>
            <w:r/>
            <w:r>
              <w:rPr>
                <w:b w:val="0"/>
                <w:color w:val="000000"/>
                <w:sz w:val="16"/>
              </w:rPr>
              <w:t>1-2</w:t>
            </w:r>
          </w:p>
        </w:tc>
        <w:tc>
          <w:tcPr>
            <w:tcW w:type="dxa" w:w="6912"/>
            <w:vAlign w:val="top"/>
          </w:tcPr>
          <w:p>
            <w:pPr>
              <w:spacing w:after="0"/>
            </w:pPr>
            <w:r/>
            <w:r>
              <w:rPr>
                <w:b w:val="0"/>
                <w:color w:val="000000"/>
                <w:sz w:val="16"/>
              </w:rPr>
              <w:t>Materials list; safety check; data table; timeline check</w:t>
            </w:r>
          </w:p>
        </w:tc>
      </w:tr>
      <w:tr>
        <w:tc>
          <w:tcPr>
            <w:tcW w:type="dxa" w:w="3888"/>
            <w:vAlign w:val="top"/>
            <w:shd w:fill="F2F2F2"/>
          </w:tcPr>
          <w:p>
            <w:pPr>
              <w:spacing w:after="0"/>
            </w:pPr>
            <w:r>
              <w:rPr>
                <w:b/>
              </w:rPr>
            </w:r>
            <w:r>
              <w:rPr>
                <w:b/>
                <w:color w:val="000000"/>
                <w:sz w:val="16"/>
              </w:rPr>
              <w:t>Engineering / 3D printing</w:t>
            </w:r>
          </w:p>
        </w:tc>
        <w:tc>
          <w:tcPr>
            <w:tcW w:type="dxa" w:w="1728"/>
            <w:vAlign w:val="top"/>
          </w:tcPr>
          <w:p>
            <w:pPr>
              <w:spacing w:after="0"/>
            </w:pPr>
            <w:r/>
            <w:r>
              <w:rPr>
                <w:b w:val="0"/>
                <w:color w:val="000000"/>
                <w:sz w:val="16"/>
              </w:rPr>
              <w:t>1-3</w:t>
            </w:r>
          </w:p>
        </w:tc>
        <w:tc>
          <w:tcPr>
            <w:tcW w:type="dxa" w:w="6912"/>
            <w:vAlign w:val="top"/>
          </w:tcPr>
          <w:p>
            <w:pPr>
              <w:spacing w:after="0"/>
            </w:pPr>
            <w:r/>
            <w:r>
              <w:rPr>
                <w:b w:val="0"/>
                <w:color w:val="000000"/>
                <w:sz w:val="16"/>
              </w:rPr>
              <w:t>Design criteria; materials/equipment plan; PPE/tool training; failure test plan</w:t>
            </w:r>
          </w:p>
        </w:tc>
      </w:tr>
      <w:tr>
        <w:tc>
          <w:tcPr>
            <w:tcW w:type="dxa" w:w="3888"/>
            <w:vAlign w:val="top"/>
            <w:shd w:fill="F2F2F2"/>
          </w:tcPr>
          <w:p>
            <w:pPr>
              <w:spacing w:after="0"/>
            </w:pPr>
            <w:r>
              <w:rPr>
                <w:b/>
              </w:rPr>
            </w:r>
            <w:r>
              <w:rPr>
                <w:b/>
                <w:color w:val="000000"/>
                <w:sz w:val="16"/>
              </w:rPr>
              <w:t>Robotics / drones / moving parts</w:t>
            </w:r>
          </w:p>
        </w:tc>
        <w:tc>
          <w:tcPr>
            <w:tcW w:type="dxa" w:w="1728"/>
            <w:vAlign w:val="top"/>
          </w:tcPr>
          <w:p>
            <w:pPr>
              <w:spacing w:after="0"/>
            </w:pPr>
            <w:r/>
            <w:r>
              <w:rPr>
                <w:b w:val="0"/>
                <w:color w:val="000000"/>
                <w:sz w:val="16"/>
              </w:rPr>
              <w:t>2-3</w:t>
            </w:r>
          </w:p>
        </w:tc>
        <w:tc>
          <w:tcPr>
            <w:tcW w:type="dxa" w:w="6912"/>
            <w:vAlign w:val="top"/>
          </w:tcPr>
          <w:p>
            <w:pPr>
              <w:spacing w:after="0"/>
            </w:pPr>
            <w:r/>
            <w:r>
              <w:rPr>
                <w:b w:val="0"/>
                <w:color w:val="000000"/>
                <w:sz w:val="16"/>
              </w:rPr>
              <w:t>Controlled test area plan; battery/wiring check; supervision plan</w:t>
            </w:r>
          </w:p>
        </w:tc>
      </w:tr>
      <w:tr>
        <w:tc>
          <w:tcPr>
            <w:tcW w:type="dxa" w:w="3888"/>
            <w:vAlign w:val="top"/>
            <w:shd w:fill="F2F2F2"/>
          </w:tcPr>
          <w:p>
            <w:pPr>
              <w:spacing w:after="0"/>
            </w:pPr>
            <w:r>
              <w:rPr>
                <w:b/>
              </w:rPr>
            </w:r>
            <w:r>
              <w:rPr>
                <w:b/>
                <w:color w:val="000000"/>
                <w:sz w:val="16"/>
              </w:rPr>
              <w:t>Electric circuits / Arduino</w:t>
            </w:r>
          </w:p>
        </w:tc>
        <w:tc>
          <w:tcPr>
            <w:tcW w:type="dxa" w:w="1728"/>
            <w:vAlign w:val="top"/>
          </w:tcPr>
          <w:p>
            <w:pPr>
              <w:spacing w:after="0"/>
            </w:pPr>
            <w:r/>
            <w:r>
              <w:rPr>
                <w:b w:val="0"/>
                <w:color w:val="000000"/>
                <w:sz w:val="16"/>
              </w:rPr>
              <w:t>1-3</w:t>
            </w:r>
          </w:p>
        </w:tc>
        <w:tc>
          <w:tcPr>
            <w:tcW w:type="dxa" w:w="6912"/>
            <w:vAlign w:val="top"/>
          </w:tcPr>
          <w:p>
            <w:pPr>
              <w:spacing w:after="0"/>
            </w:pPr>
            <w:r/>
            <w:r>
              <w:rPr>
                <w:b w:val="0"/>
                <w:color w:val="000000"/>
                <w:sz w:val="16"/>
              </w:rPr>
              <w:t>Low-voltage plan; wiring check; power source approval</w:t>
            </w:r>
          </w:p>
        </w:tc>
      </w:tr>
      <w:tr>
        <w:tc>
          <w:tcPr>
            <w:tcW w:type="dxa" w:w="3888"/>
            <w:vAlign w:val="top"/>
            <w:shd w:fill="F2F2F2"/>
          </w:tcPr>
          <w:p>
            <w:pPr>
              <w:spacing w:after="0"/>
            </w:pPr>
            <w:r>
              <w:rPr>
                <w:b/>
              </w:rPr>
            </w:r>
            <w:r>
              <w:rPr>
                <w:b/>
                <w:color w:val="000000"/>
                <w:sz w:val="16"/>
              </w:rPr>
              <w:t>Chemistry / materials</w:t>
            </w:r>
          </w:p>
        </w:tc>
        <w:tc>
          <w:tcPr>
            <w:tcW w:type="dxa" w:w="1728"/>
            <w:vAlign w:val="top"/>
          </w:tcPr>
          <w:p>
            <w:pPr>
              <w:spacing w:after="0"/>
            </w:pPr>
            <w:r/>
            <w:r>
              <w:rPr>
                <w:b w:val="0"/>
                <w:color w:val="000000"/>
                <w:sz w:val="16"/>
              </w:rPr>
              <w:t>2-3</w:t>
            </w:r>
          </w:p>
        </w:tc>
        <w:tc>
          <w:tcPr>
            <w:tcW w:type="dxa" w:w="6912"/>
            <w:vAlign w:val="top"/>
          </w:tcPr>
          <w:p>
            <w:pPr>
              <w:spacing w:after="0"/>
            </w:pPr>
            <w:r/>
            <w:r>
              <w:rPr>
                <w:b w:val="0"/>
                <w:color w:val="000000"/>
                <w:sz w:val="16"/>
              </w:rPr>
              <w:t>Chemical approval; PPE; storage/disposal plan; SDS/local guidance</w:t>
            </w:r>
          </w:p>
        </w:tc>
      </w:tr>
      <w:tr>
        <w:tc>
          <w:tcPr>
            <w:tcW w:type="dxa" w:w="3888"/>
            <w:vAlign w:val="top"/>
            <w:shd w:fill="F2F2F2"/>
          </w:tcPr>
          <w:p>
            <w:pPr>
              <w:spacing w:after="0"/>
            </w:pPr>
            <w:r>
              <w:rPr>
                <w:b/>
              </w:rPr>
            </w:r>
            <w:r>
              <w:rPr>
                <w:b/>
                <w:color w:val="000000"/>
                <w:sz w:val="16"/>
              </w:rPr>
              <w:t>Biology / microbiology</w:t>
            </w:r>
          </w:p>
        </w:tc>
        <w:tc>
          <w:tcPr>
            <w:tcW w:type="dxa" w:w="1728"/>
            <w:vAlign w:val="top"/>
          </w:tcPr>
          <w:p>
            <w:pPr>
              <w:spacing w:after="0"/>
            </w:pPr>
            <w:r/>
            <w:r>
              <w:rPr>
                <w:b w:val="0"/>
                <w:color w:val="000000"/>
                <w:sz w:val="16"/>
              </w:rPr>
              <w:t>3</w:t>
            </w:r>
          </w:p>
        </w:tc>
        <w:tc>
          <w:tcPr>
            <w:tcW w:type="dxa" w:w="6912"/>
            <w:vAlign w:val="top"/>
          </w:tcPr>
          <w:p>
            <w:pPr>
              <w:spacing w:after="0"/>
            </w:pPr>
            <w:r/>
            <w:r>
              <w:rPr>
                <w:b w:val="0"/>
                <w:color w:val="000000"/>
                <w:sz w:val="16"/>
              </w:rPr>
              <w:t>Biological safety review; disposal plan; approval before any samples/cultures</w:t>
            </w:r>
          </w:p>
        </w:tc>
      </w:tr>
      <w:tr>
        <w:tc>
          <w:tcPr>
            <w:tcW w:type="dxa" w:w="3888"/>
            <w:vAlign w:val="top"/>
            <w:shd w:fill="F2F2F2"/>
          </w:tcPr>
          <w:p>
            <w:pPr>
              <w:spacing w:after="0"/>
            </w:pPr>
            <w:r>
              <w:rPr>
                <w:b/>
              </w:rPr>
            </w:r>
            <w:r>
              <w:rPr>
                <w:b/>
                <w:color w:val="000000"/>
                <w:sz w:val="16"/>
              </w:rPr>
              <w:t>Human participants / surveys</w:t>
            </w:r>
          </w:p>
        </w:tc>
        <w:tc>
          <w:tcPr>
            <w:tcW w:type="dxa" w:w="1728"/>
            <w:vAlign w:val="top"/>
          </w:tcPr>
          <w:p>
            <w:pPr>
              <w:spacing w:after="0"/>
            </w:pPr>
            <w:r/>
            <w:r>
              <w:rPr>
                <w:b w:val="0"/>
                <w:color w:val="000000"/>
                <w:sz w:val="16"/>
              </w:rPr>
              <w:t>3</w:t>
            </w:r>
          </w:p>
        </w:tc>
        <w:tc>
          <w:tcPr>
            <w:tcW w:type="dxa" w:w="6912"/>
            <w:vAlign w:val="top"/>
          </w:tcPr>
          <w:p>
            <w:pPr>
              <w:spacing w:after="0"/>
            </w:pPr>
            <w:r/>
            <w:r>
              <w:rPr>
                <w:b w:val="0"/>
                <w:color w:val="000000"/>
                <w:sz w:val="16"/>
              </w:rPr>
              <w:t>Ethics screening; consent/privacy plan; administrator/IRB-style review if required</w:t>
            </w:r>
          </w:p>
        </w:tc>
      </w:tr>
      <w:tr>
        <w:tc>
          <w:tcPr>
            <w:tcW w:type="dxa" w:w="3888"/>
            <w:vAlign w:val="top"/>
            <w:shd w:fill="F2F2F2"/>
          </w:tcPr>
          <w:p>
            <w:pPr>
              <w:spacing w:after="0"/>
            </w:pPr>
            <w:r>
              <w:rPr>
                <w:b/>
              </w:rPr>
            </w:r>
            <w:r>
              <w:rPr>
                <w:b/>
                <w:color w:val="000000"/>
                <w:sz w:val="16"/>
              </w:rPr>
              <w:t>Health / nutrition / exercise</w:t>
            </w:r>
          </w:p>
        </w:tc>
        <w:tc>
          <w:tcPr>
            <w:tcW w:type="dxa" w:w="1728"/>
            <w:vAlign w:val="top"/>
          </w:tcPr>
          <w:p>
            <w:pPr>
              <w:spacing w:after="0"/>
            </w:pPr>
            <w:r/>
            <w:r>
              <w:rPr>
                <w:b w:val="0"/>
                <w:color w:val="000000"/>
                <w:sz w:val="16"/>
              </w:rPr>
              <w:t>3-4</w:t>
            </w:r>
          </w:p>
        </w:tc>
        <w:tc>
          <w:tcPr>
            <w:tcW w:type="dxa" w:w="6912"/>
            <w:vAlign w:val="top"/>
          </w:tcPr>
          <w:p>
            <w:pPr>
              <w:spacing w:after="0"/>
            </w:pPr>
            <w:r/>
            <w:r>
              <w:rPr>
                <w:b w:val="0"/>
                <w:color w:val="000000"/>
                <w:sz w:val="16"/>
              </w:rPr>
              <w:t>Ethics review; usually redirect away from ingestion or medical testing</w:t>
            </w:r>
          </w:p>
        </w:tc>
      </w:tr>
      <w:tr>
        <w:tc>
          <w:tcPr>
            <w:tcW w:type="dxa" w:w="3888"/>
            <w:vAlign w:val="top"/>
            <w:shd w:fill="F2F2F2"/>
          </w:tcPr>
          <w:p>
            <w:pPr>
              <w:spacing w:after="0"/>
            </w:pPr>
            <w:r>
              <w:rPr>
                <w:b/>
              </w:rPr>
            </w:r>
            <w:r>
              <w:rPr>
                <w:b/>
                <w:color w:val="000000"/>
                <w:sz w:val="16"/>
              </w:rPr>
              <w:t>Environmental field sampling</w:t>
            </w:r>
          </w:p>
        </w:tc>
        <w:tc>
          <w:tcPr>
            <w:tcW w:type="dxa" w:w="1728"/>
            <w:vAlign w:val="top"/>
          </w:tcPr>
          <w:p>
            <w:pPr>
              <w:spacing w:after="0"/>
            </w:pPr>
            <w:r/>
            <w:r>
              <w:rPr>
                <w:b w:val="0"/>
                <w:color w:val="000000"/>
                <w:sz w:val="16"/>
              </w:rPr>
              <w:t>2-3</w:t>
            </w:r>
          </w:p>
        </w:tc>
        <w:tc>
          <w:tcPr>
            <w:tcW w:type="dxa" w:w="6912"/>
            <w:vAlign w:val="top"/>
          </w:tcPr>
          <w:p>
            <w:pPr>
              <w:spacing w:after="0"/>
            </w:pPr>
            <w:r/>
            <w:r>
              <w:rPr>
                <w:b w:val="0"/>
                <w:color w:val="000000"/>
                <w:sz w:val="16"/>
              </w:rPr>
              <w:t>Field safety; sampling permission; storage/disposal; no culturing without review</w:t>
            </w:r>
          </w:p>
        </w:tc>
      </w:tr>
      <w:tr>
        <w:tc>
          <w:tcPr>
            <w:tcW w:type="dxa" w:w="3888"/>
            <w:vAlign w:val="top"/>
            <w:shd w:fill="F2F2F2"/>
          </w:tcPr>
          <w:p>
            <w:pPr>
              <w:spacing w:after="0"/>
            </w:pPr>
            <w:r>
              <w:rPr>
                <w:b/>
              </w:rPr>
            </w:r>
            <w:r>
              <w:rPr>
                <w:b/>
                <w:color w:val="000000"/>
                <w:sz w:val="16"/>
              </w:rPr>
              <w:t>Computer science / AI</w:t>
            </w:r>
          </w:p>
        </w:tc>
        <w:tc>
          <w:tcPr>
            <w:tcW w:type="dxa" w:w="1728"/>
            <w:vAlign w:val="top"/>
          </w:tcPr>
          <w:p>
            <w:pPr>
              <w:spacing w:after="0"/>
            </w:pPr>
            <w:r/>
            <w:r>
              <w:rPr>
                <w:b w:val="0"/>
                <w:color w:val="000000"/>
                <w:sz w:val="16"/>
              </w:rPr>
              <w:t>1-3</w:t>
            </w:r>
          </w:p>
        </w:tc>
        <w:tc>
          <w:tcPr>
            <w:tcW w:type="dxa" w:w="6912"/>
            <w:vAlign w:val="top"/>
          </w:tcPr>
          <w:p>
            <w:pPr>
              <w:spacing w:after="0"/>
            </w:pPr>
            <w:r/>
            <w:r>
              <w:rPr>
                <w:b w:val="0"/>
                <w:color w:val="000000"/>
                <w:sz w:val="16"/>
              </w:rPr>
              <w:t>Data ethics; AI use disclosure; privacy check; code/source documentation</w:t>
            </w:r>
          </w:p>
        </w:tc>
      </w:tr>
      <w:tr>
        <w:tc>
          <w:tcPr>
            <w:tcW w:type="dxa" w:w="3888"/>
            <w:vAlign w:val="top"/>
            <w:shd w:fill="F2F2F2"/>
          </w:tcPr>
          <w:p>
            <w:pPr>
              <w:spacing w:after="0"/>
            </w:pPr>
            <w:r>
              <w:rPr>
                <w:b/>
              </w:rPr>
            </w:r>
            <w:r>
              <w:rPr>
                <w:b/>
                <w:color w:val="000000"/>
                <w:sz w:val="16"/>
              </w:rPr>
              <w:t>Public dataset analysis</w:t>
            </w:r>
          </w:p>
        </w:tc>
        <w:tc>
          <w:tcPr>
            <w:tcW w:type="dxa" w:w="1728"/>
            <w:vAlign w:val="top"/>
          </w:tcPr>
          <w:p>
            <w:pPr>
              <w:spacing w:after="0"/>
            </w:pPr>
            <w:r/>
            <w:r>
              <w:rPr>
                <w:b w:val="0"/>
                <w:color w:val="000000"/>
                <w:sz w:val="16"/>
              </w:rPr>
              <w:t>1-3</w:t>
            </w:r>
          </w:p>
        </w:tc>
        <w:tc>
          <w:tcPr>
            <w:tcW w:type="dxa" w:w="6912"/>
            <w:vAlign w:val="top"/>
          </w:tcPr>
          <w:p>
            <w:pPr>
              <w:spacing w:after="0"/>
            </w:pPr>
            <w:r/>
            <w:r>
              <w:rPr>
                <w:b w:val="0"/>
                <w:color w:val="000000"/>
                <w:sz w:val="16"/>
              </w:rPr>
              <w:t>Dataset source log; privacy/sensitivity check; data cleaning log</w:t>
            </w:r>
          </w:p>
        </w:tc>
      </w:tr>
      <w:tr>
        <w:tc>
          <w:tcPr>
            <w:tcW w:type="dxa" w:w="3888"/>
            <w:vAlign w:val="top"/>
            <w:shd w:fill="F2F2F2"/>
          </w:tcPr>
          <w:p>
            <w:pPr>
              <w:spacing w:after="0"/>
            </w:pPr>
            <w:r>
              <w:rPr>
                <w:b/>
              </w:rPr>
            </w:r>
            <w:r>
              <w:rPr>
                <w:b/>
                <w:color w:val="000000"/>
                <w:sz w:val="16"/>
              </w:rPr>
              <w:t>Food / ingestion</w:t>
            </w:r>
          </w:p>
        </w:tc>
        <w:tc>
          <w:tcPr>
            <w:tcW w:type="dxa" w:w="1728"/>
            <w:vAlign w:val="top"/>
          </w:tcPr>
          <w:p>
            <w:pPr>
              <w:spacing w:after="0"/>
            </w:pPr>
            <w:r/>
            <w:r>
              <w:rPr>
                <w:b w:val="0"/>
                <w:color w:val="000000"/>
                <w:sz w:val="16"/>
              </w:rPr>
              <w:t>3-4</w:t>
            </w:r>
          </w:p>
        </w:tc>
        <w:tc>
          <w:tcPr>
            <w:tcW w:type="dxa" w:w="6912"/>
            <w:vAlign w:val="top"/>
          </w:tcPr>
          <w:p>
            <w:pPr>
              <w:spacing w:after="0"/>
            </w:pPr>
            <w:r/>
            <w:r>
              <w:rPr>
                <w:b w:val="0"/>
                <w:color w:val="000000"/>
                <w:sz w:val="16"/>
              </w:rPr>
              <w:t>Usually redirect; no ingestion without formal approval</w:t>
            </w:r>
          </w:p>
        </w:tc>
      </w:tr>
      <w:tr>
        <w:tc>
          <w:tcPr>
            <w:tcW w:type="dxa" w:w="3888"/>
            <w:vAlign w:val="top"/>
            <w:shd w:fill="F2F2F2"/>
          </w:tcPr>
          <w:p>
            <w:pPr>
              <w:spacing w:after="0"/>
            </w:pPr>
            <w:r>
              <w:rPr>
                <w:b/>
              </w:rPr>
            </w:r>
            <w:r>
              <w:rPr>
                <w:b/>
                <w:color w:val="000000"/>
                <w:sz w:val="16"/>
              </w:rPr>
              <w:t>Lasers / heat / pressure / structural failure</w:t>
            </w:r>
          </w:p>
        </w:tc>
        <w:tc>
          <w:tcPr>
            <w:tcW w:type="dxa" w:w="1728"/>
            <w:vAlign w:val="top"/>
          </w:tcPr>
          <w:p>
            <w:pPr>
              <w:spacing w:after="0"/>
            </w:pPr>
            <w:r/>
            <w:r>
              <w:rPr>
                <w:b w:val="0"/>
                <w:color w:val="000000"/>
                <w:sz w:val="16"/>
              </w:rPr>
              <w:t>2-4</w:t>
            </w:r>
          </w:p>
        </w:tc>
        <w:tc>
          <w:tcPr>
            <w:tcW w:type="dxa" w:w="6912"/>
            <w:vAlign w:val="top"/>
          </w:tcPr>
          <w:p>
            <w:pPr>
              <w:spacing w:after="0"/>
            </w:pPr>
            <w:r/>
            <w:r>
              <w:rPr>
                <w:b w:val="0"/>
                <w:color w:val="000000"/>
                <w:sz w:val="16"/>
              </w:rPr>
              <w:t>PPE; shielding; supervision; no high-energy systems without approval</w:t>
            </w:r>
          </w:p>
        </w:tc>
      </w:tr>
    </w:tbl>
    <w:p/>
    <w:p>
      <w:pPr>
        <w:pStyle w:val="Heading1"/>
      </w:pPr>
      <w:r>
        <w:t>Teacher Language for Redirecting Projects</w:t>
      </w:r>
    </w:p>
    <w:p>
      <w:pPr>
        <w:spacing w:before="40" w:after="120"/>
        <w:pBdr>
          <w:bottom w:val="single" w:sz="8" w:space="1" w:color="E31B23"/>
        </w:pBdr>
      </w:pPr>
    </w:p>
    <w:p>
      <w:pPr>
        <w:pStyle w:val="ListBullet"/>
      </w:pPr>
      <w:r>
        <w:t>“The research question is interesting. The method is the part we need to redesign.”</w:t>
      </w:r>
    </w:p>
    <w:p>
      <w:pPr>
        <w:pStyle w:val="ListBullet"/>
      </w:pPr>
      <w:r>
        <w:t>“I am not saying no to the science. I am saying no to this version of the test.”</w:t>
      </w:r>
    </w:p>
    <w:p>
      <w:pPr>
        <w:pStyle w:val="ListBullet"/>
      </w:pPr>
      <w:r>
        <w:t>“What is a safer model, simulation, or public dataset that keeps the same basic question?”</w:t>
      </w:r>
    </w:p>
    <w:p>
      <w:pPr>
        <w:pStyle w:val="ListBullet"/>
      </w:pPr>
      <w:r>
        <w:t>“What evidence could answer a smaller version of this question?”</w:t>
      </w:r>
    </w:p>
    <w:p>
      <w:pPr>
        <w:pStyle w:val="ListBullet"/>
      </w:pPr>
      <w:r>
        <w:t>“If this cannot be tested safely in our setting, how could it become a design proposal, feasibility study, or literature-supported analysis?”</w:t>
      </w:r>
    </w:p>
    <w:p>
      <w:pPr>
        <w:pStyle w:val="Heading1"/>
      </w:pPr>
      <w:r>
        <w:t>Appendix A: Project Intake Safety Questions</w:t>
      </w:r>
    </w:p>
    <w:p>
      <w:pPr>
        <w:spacing w:before="40" w:after="120"/>
        <w:pBdr>
          <w:bottom w:val="single" w:sz="8" w:space="1" w:color="E31B23"/>
        </w:pBdr>
      </w:pPr>
    </w:p>
    <w:p>
      <w:pPr>
        <w:pStyle w:val="ListBullet"/>
      </w:pPr>
      <w:r>
        <w:t>What exactly will you do during testing?</w:t>
      </w:r>
    </w:p>
    <w:p>
      <w:pPr>
        <w:pStyle w:val="ListBullet"/>
      </w:pPr>
      <w:r>
        <w:t>Where will the work happen?</w:t>
      </w:r>
    </w:p>
    <w:p>
      <w:pPr>
        <w:pStyle w:val="ListBullet"/>
      </w:pPr>
      <w:r>
        <w:t>What materials, tools, software, or data sources will you use?</w:t>
      </w:r>
    </w:p>
    <w:p>
      <w:pPr>
        <w:pStyle w:val="ListBullet"/>
      </w:pPr>
      <w:r>
        <w:t>Does the project involve people, animals, private data, biological materials, chemicals, heat, pressure, electricity, tools, drones, moving parts, food, or environmental samples?</w:t>
      </w:r>
    </w:p>
    <w:p>
      <w:pPr>
        <w:pStyle w:val="ListBullet"/>
      </w:pPr>
      <w:r>
        <w:t>What could go wrong?</w:t>
      </w:r>
    </w:p>
    <w:p>
      <w:pPr>
        <w:pStyle w:val="ListBullet"/>
      </w:pPr>
      <w:r>
        <w:t>What PPE, training, supervision, storage, cleanup, or disposal is required?</w:t>
      </w:r>
    </w:p>
    <w:p>
      <w:pPr>
        <w:pStyle w:val="ListBullet"/>
      </w:pPr>
      <w:r>
        <w:t>What is the smallest safe pilot version of this project?</w:t>
      </w:r>
    </w:p>
    <w:p>
      <w:pPr>
        <w:pStyle w:val="ListBullet"/>
      </w:pPr>
      <w:r>
        <w:t>What exact Project Approval Tracker status has the teacher assigned?</w:t>
      </w:r>
    </w:p>
    <w:p>
      <w:pPr>
        <w:pStyle w:val="ListBullet"/>
      </w:pPr>
      <w:r>
        <w:t>What would require re-approval?</w:t>
      </w:r>
    </w:p>
    <w:p>
      <w:pPr>
        <w:pStyle w:val="Heading1"/>
      </w:pPr>
      <w:r>
        <w:t>Appendix B: Student-Facing Safety Reflection</w:t>
      </w:r>
    </w:p>
    <w:p>
      <w:pPr>
        <w:spacing w:before="40" w:after="120"/>
        <w:pBdr>
          <w:bottom w:val="single" w:sz="8" w:space="1" w:color="E31B23"/>
        </w:pBdr>
      </w:pPr>
    </w:p>
    <w:p>
      <w:r>
        <w:t>Students may complete this reflection before project approval conferences.</w:t>
      </w:r>
    </w:p>
    <w:p>
      <w:pPr>
        <w:pStyle w:val="ListBullet"/>
      </w:pPr>
      <w:r>
        <w:t>My project may involve these risks:</w:t>
      </w:r>
    </w:p>
    <w:p>
      <w:pPr>
        <w:pStyle w:val="ListBullet"/>
      </w:pPr>
      <w:r>
        <w:t>The safest version of my project would be:</w:t>
      </w:r>
    </w:p>
    <w:p>
      <w:pPr>
        <w:pStyle w:val="ListBullet"/>
      </w:pPr>
      <w:r>
        <w:t>The part that needs teacher approval before I begin is:</w:t>
      </w:r>
    </w:p>
    <w:p>
      <w:pPr>
        <w:pStyle w:val="ListBullet"/>
      </w:pPr>
      <w:r>
        <w:t>The material, tool, or data source I am least sure about is:</w:t>
      </w:r>
    </w:p>
    <w:p>
      <w:pPr>
        <w:pStyle w:val="ListBullet"/>
      </w:pPr>
      <w:r>
        <w:t>If my original idea is not approved, one safer alternative is:</w:t>
      </w:r>
    </w:p>
    <w:p>
      <w:pPr>
        <w:pStyle w:val="ListBullet"/>
      </w:pPr>
      <w:r>
        <w:t>I understand that approval for planning does not mean approval for testing.</w:t>
      </w:r>
    </w:p>
    <w:p>
      <w:pPr>
        <w:pStyle w:val="Heading1"/>
      </w:pPr>
      <w:r>
        <w:t>Appendix C: Re-Approval Triggers</w:t>
      </w:r>
    </w:p>
    <w:p>
      <w:pPr>
        <w:spacing w:before="40" w:after="120"/>
        <w:pBdr>
          <w:bottom w:val="single" w:sz="8" w:space="1" w:color="E31B23"/>
        </w:pBdr>
      </w:pPr>
    </w:p>
    <w:p>
      <w:pPr>
        <w:pStyle w:val="ListBullet"/>
      </w:pPr>
      <w:r>
        <w:t>A new material, chemical, organism, sample, tool, or power source is added.</w:t>
      </w:r>
    </w:p>
    <w:p>
      <w:pPr>
        <w:pStyle w:val="ListBullet"/>
      </w:pPr>
      <w:r>
        <w:t>Testing moves to a different location.</w:t>
      </w:r>
    </w:p>
    <w:p>
      <w:pPr>
        <w:pStyle w:val="ListBullet"/>
      </w:pPr>
      <w:r>
        <w:t>The student changes from simulation or planning to physical testing.</w:t>
      </w:r>
    </w:p>
    <w:p>
      <w:pPr>
        <w:pStyle w:val="ListBullet"/>
      </w:pPr>
      <w:r>
        <w:t>The project begins involving people, recordings, survey data, private information, or images of people.</w:t>
      </w:r>
    </w:p>
    <w:p>
      <w:pPr>
        <w:pStyle w:val="ListBullet"/>
      </w:pPr>
      <w:r>
        <w:t>The project adds heat, electricity, pressure, moving parts, fabrication tools, drones, lasers, or structural failure testing.</w:t>
      </w:r>
    </w:p>
    <w:p>
      <w:pPr>
        <w:pStyle w:val="ListBullet"/>
      </w:pPr>
      <w:r>
        <w:t>The student changes the data source to a sensitive or restricted dataset.</w:t>
      </w:r>
    </w:p>
    <w:p>
      <w:pPr>
        <w:pStyle w:val="ListBullet"/>
      </w:pPr>
      <w:r>
        <w:t>A pilot test reveals a new hazard.</w:t>
      </w:r>
    </w:p>
    <w:p>
      <w:pPr>
        <w:pStyle w:val="ListBullet"/>
      </w:pPr>
      <w:r>
        <w:t>A mentor suggests a method change that affects risk, approval, or supervision.</w:t>
      </w:r>
    </w:p>
    <w:p>
      <w:pPr>
        <w:pStyle w:val="Heading1"/>
      </w:pPr>
      <w:r>
        <w:t>Appendix D: Portal Placement Recommendation</w:t>
      </w:r>
    </w:p>
    <w:p>
      <w:pPr>
        <w:spacing w:before="40" w:after="120"/>
        <w:pBdr>
          <w:bottom w:val="single" w:sz="8" w:space="1" w:color="E31B23"/>
        </w:pBdr>
      </w:pPr>
    </w:p>
    <w:p>
      <w:r>
        <w:t>Place this guide in the portal under Project Approval &amp; Safety. Link it from Unit 2 Week 4, Unit 3 Week 5, the Project Approval System, and teacher-facing communication resources. Parent/guardian materials remain resources for teacher distribution.</w:t>
      </w:r>
    </w:p>
    <w:tbl>
      <w:tblPr>
        <w:tblW w:type="auto" w:w="0"/>
        <w:jc w:val="center"/>
        <w:tblLook w:firstColumn="1" w:firstRow="1" w:lastColumn="0" w:lastRow="0" w:noHBand="0" w:noVBand="1" w:val="04A0"/>
        <w:tblBorders>
          <w:top w:val="single" w:sz="8" w:space="0" w:color="E31B23"/>
          <w:left w:val="single" w:sz="8" w:space="0" w:color="E31B23"/>
          <w:bottom w:val="single" w:sz="8" w:space="0" w:color="E31B23"/>
          <w:right w:val="single" w:sz="8" w:space="0" w:color="E31B23"/>
          <w:insideH w:val="single" w:sz="8" w:space="0" w:color="E31B23"/>
          <w:insideV w:val="single" w:sz="8" w:space="0" w:color="E31B23"/>
        </w:tblBorders>
      </w:tblPr>
      <w:tblGrid>
        <w:gridCol w:w="10368"/>
      </w:tblGrid>
      <w:tr>
        <w:tc>
          <w:tcPr>
            <w:tcW w:type="dxa" w:w="10368"/>
            <w:shd w:fill="111111"/>
          </w:tcPr>
          <w:p>
            <w:pPr>
              <w:spacing w:after="80"/>
            </w:pPr>
            <w:r/>
            <w:r>
              <w:rPr>
                <w:b/>
                <w:color w:val="FFFFFF"/>
                <w:sz w:val="20"/>
              </w:rPr>
              <w:t>Teacher Reminder</w:t>
            </w:r>
          </w:p>
          <w:p>
            <w:pPr>
              <w:spacing w:after="40"/>
            </w:pPr>
            <w:r>
              <w:rPr>
                <w:color w:val="FFFFFF"/>
                <w:sz w:val="18"/>
              </w:rPr>
              <w:t>When in doubt, slow down. STARLAB is built on authentic research, but authentic research requires clear boundaries, documented approval, and responsible supervision.</w:t>
            </w:r>
          </w:p>
        </w:tc>
        <w:trPr>
          <w:tblHeader/>
        </w:trPr>
      </w:tr>
    </w:tbl>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STARLAB Safety Scope Guide |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E31B2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FFFFF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E31B23"/>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FFFFF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STARLAB Safety Scope Guide by Project Type</dc:title>
  <dc:subject>Teacher-facing safety scope guide for STARLAB student research projects</dc:subject>
  <dc:creator>STARLAB</dc:creator>
  <cp:keywords>STARLAB, safety scope, Project Approval Tracker, district forms, risk screening</cp:keywords>
  <dc:description>Created for STARLAB teacher portal.</dc:description>
  <cp:lastModifiedBy/>
  <cp:revision>1</cp:revision>
  <dcterms:created xsi:type="dcterms:W3CDTF">2013-12-23T23:15:00Z</dcterms:created>
  <dcterms:modified xsi:type="dcterms:W3CDTF">2013-12-23T23:15:00Z</dcterms:modified>
  <cp:category>STARLAB Curriculum</cp:category>
</cp:coreProperties>
</file>