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bottom w:val="single" w:sz="18" w:space="1" w:color="ED1C24"/>
        </w:pBdr>
        <w:spacing w:lineRule="auto" w:line="240" w:before="0" w:after="160"/>
        <w:rPr/>
      </w:pPr>
      <w:r>
        <w:rPr/>
      </w:r>
    </w:p>
    <w:p>
      <w:pPr>
        <w:pStyle w:val="normal1"/>
        <w:spacing w:lineRule="auto" w:line="240" w:before="480" w:after="120"/>
        <w:jc w:val="center"/>
        <w:rPr/>
      </w:pPr>
      <w:r>
        <w:rPr>
          <w:rFonts w:eastAsia="Play" w:cs="Play" w:ascii="Play" w:hAnsi="Play"/>
          <w:b/>
          <w:bCs/>
          <w:color w:val="ED1C24"/>
          <w:sz w:val="88"/>
          <w:szCs w:val="88"/>
        </w:rPr>
        <w:t>STARLAB</w:t>
      </w:r>
    </w:p>
    <w:p>
      <w:pPr>
        <w:pStyle w:val="normal1"/>
        <w:jc w:val="center"/>
        <w:rPr/>
      </w:pPr>
      <w:r>
        <w:rPr>
          <w:rFonts w:eastAsia="Play" w:cs="Play" w:ascii="Play" w:hAnsi="Play"/>
          <w:b/>
          <w:bCs/>
          <w:color w:val="111111"/>
          <w:sz w:val="48"/>
          <w:szCs w:val="48"/>
        </w:rPr>
        <w:t>Start Here Guide</w:t>
      </w:r>
    </w:p>
    <w:p>
      <w:pPr>
        <w:pStyle w:val="normal1"/>
        <w:spacing w:lineRule="auto" w:line="240" w:before="0" w:after="480"/>
        <w:jc w:val="center"/>
        <w:rPr/>
      </w:pPr>
      <w:r>
        <w:rPr>
          <w:rFonts w:eastAsia="Aptos" w:cs="Aptos"/>
          <w:color w:val="666666"/>
          <w:sz w:val="24"/>
          <w:szCs w:val="24"/>
        </w:rPr>
        <w:t>A practical implementation guide for launching a STARLAB chapter</w:t>
      </w:r>
    </w:p>
    <w:tbl>
      <w:tblPr>
        <w:tblStyle w:val="Table1"/>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Purpose of this guide</w:t>
            </w:r>
          </w:p>
          <w:p>
            <w:pPr>
              <w:pStyle w:val="normal1"/>
              <w:spacing w:lineRule="auto" w:line="240" w:before="0" w:after="0"/>
              <w:rPr/>
            </w:pPr>
            <w:r>
              <w:rPr>
                <w:rFonts w:eastAsia="Aptos" w:cs="Aptos"/>
                <w:sz w:val="20"/>
                <w:szCs w:val="20"/>
              </w:rPr>
              <w:t>This document is the first-stop orientation for teachers preparing to run STARLAB. It explains what the course is, how the portal is organized, what to prepare before the first week, and how to avoid the most common implementation problems.</w:t>
            </w:r>
          </w:p>
        </w:tc>
      </w:tr>
    </w:tbl>
    <w:p>
      <w:pPr>
        <w:pStyle w:val="Heading1"/>
        <w:rPr/>
      </w:pPr>
      <w:r>
        <w:rPr>
          <w:b/>
          <w:bCs/>
          <w:color w:val="ED1C24"/>
          <w:sz w:val="36"/>
          <w:szCs w:val="36"/>
        </w:rPr>
        <w:t>STARLAB in One Page</w:t>
      </w:r>
    </w:p>
    <w:p>
      <w:pPr>
        <w:pStyle w:val="normal1"/>
        <w:spacing w:lineRule="auto" w:line="240" w:before="0" w:after="120"/>
        <w:rPr/>
      </w:pPr>
      <w:r>
        <w:rPr>
          <w:rFonts w:eastAsia="Aptos" w:cs="Aptos"/>
          <w:sz w:val="21"/>
          <w:szCs w:val="21"/>
        </w:rPr>
        <w:t>STARLAB is a yearlong research-based science course in which students develop, plan, test, analyze, report, and publicly present original scientific or engineering work. The course is structured enough to support new student researchers while leaving room for authentic uncertainty, revision, and project ownership.</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begin with curiosity, then refine ideas into feasible research questions or engineering problems.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develop formal plans before testing begins, including safety, ethics, materials, methods, data collection, and timeline planning.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pilot test before full data collection, revise based on evidence, and document every major decision.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organize and analyze data, then write and present their work using the conventions of scientific communication.</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The final product matters, but the research process matters just as much.</w:t>
      </w:r>
    </w:p>
    <w:tbl>
      <w:tblPr>
        <w:tblStyle w:val="Table2"/>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Core teacher message</w:t>
            </w:r>
          </w:p>
          <w:p>
            <w:pPr>
              <w:pStyle w:val="normal1"/>
              <w:spacing w:lineRule="auto" w:line="240" w:before="0" w:after="0"/>
              <w:rPr/>
            </w:pPr>
            <w:r>
              <w:rPr>
                <w:rFonts w:eastAsia="Aptos" w:cs="Aptos"/>
                <w:sz w:val="20"/>
                <w:szCs w:val="20"/>
              </w:rPr>
              <w:t>STARLAB is not a course where the teacher already knows every answer. It is a course where students learn how to ask better questions, collect better evidence, revise responsibly, and communicate what their evidence supports.</w:t>
            </w:r>
          </w:p>
        </w:tc>
      </w:tr>
    </w:tbl>
    <w:p>
      <w:pPr>
        <w:pStyle w:val="normal1"/>
        <w:rPr/>
      </w:pPr>
      <w:r>
        <w:rPr/>
      </w:r>
      <w:r>
        <w:br w:type="page"/>
      </w:r>
    </w:p>
    <w:p>
      <w:pPr>
        <w:pStyle w:val="Heading1"/>
        <w:spacing w:before="0" w:after="0"/>
        <w:rPr/>
      </w:pPr>
      <w:r>
        <w:rPr>
          <w:b/>
          <w:bCs/>
          <w:color w:val="ED1C24"/>
          <w:sz w:val="36"/>
          <w:szCs w:val="36"/>
        </w:rPr>
        <w:t>The Year at a Glance</w:t>
      </w:r>
    </w:p>
    <w:p>
      <w:pPr>
        <w:pStyle w:val="normal1"/>
        <w:spacing w:lineRule="auto" w:line="240" w:before="0" w:after="120"/>
        <w:rPr/>
      </w:pPr>
      <w:r>
        <w:rPr>
          <w:rFonts w:eastAsia="Aptos" w:cs="Aptos"/>
          <w:sz w:val="21"/>
          <w:szCs w:val="21"/>
        </w:rPr>
        <w:t>The course is organized into six units. Each unit folder in the portal contains teaching guides, student handouts, and appendices. Slide decks 1-19 provide core instruction and activity support across the year.</w:t>
      </w:r>
    </w:p>
    <w:tbl>
      <w:tblPr>
        <w:tblStyle w:val="Table3"/>
        <w:tblW w:w="10224" w:type="dxa"/>
        <w:jc w:val="center"/>
        <w:tblInd w:w="0" w:type="dxa"/>
        <w:tblLayout w:type="fixed"/>
        <w:tblCellMar>
          <w:top w:w="0" w:type="dxa"/>
          <w:start w:w="108" w:type="dxa"/>
          <w:bottom w:w="0" w:type="dxa"/>
          <w:end w:w="108" w:type="dxa"/>
        </w:tblCellMar>
        <w:tblLook w:val="0400"/>
      </w:tblPr>
      <w:tblGrid>
        <w:gridCol w:w="2556"/>
        <w:gridCol w:w="2556"/>
        <w:gridCol w:w="2556"/>
        <w:gridCol w:w="2556"/>
      </w:tblGrid>
      <w:tr>
        <w:trPr>
          <w:tblHeader/>
        </w:trPr>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Unit</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Weeks</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Focus</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Major Products</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1</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1-2</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Introduction to research culture, curiosity, ethics, and question development</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Interest inventory, ethics agreement, preliminary question or problem</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2</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3-4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planning, hypothesis/design criteria, methods, safety, and approval</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Formal research plan and approval conference</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3</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5-16</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Pilot testing, research journals, data collection, troubleshooting, and progress monitoring</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Pilot test plan, journal, revised procedure, raw data, progress report</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17-20</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Data organization, analysis, graphing, uncertainty, and interpretation</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Clean data set, analysis plan, visuals, CER organizer</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5</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21-28</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Scientific reporting and presentation preparation</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Scientific report, visuals, peer review, presentation product</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6</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29-34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Final presentation, showcase, reflection, and portfolio</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Final presentation, showcase participation, portfolio, reflection</w:t>
            </w:r>
          </w:p>
        </w:tc>
      </w:tr>
    </w:tbl>
    <w:p>
      <w:pPr>
        <w:pStyle w:val="Heading1"/>
        <w:rPr/>
      </w:pPr>
      <w:r>
        <w:rPr>
          <w:b/>
          <w:bCs/>
          <w:color w:val="ED1C24"/>
          <w:sz w:val="36"/>
          <w:szCs w:val="36"/>
        </w:rPr>
        <w:t>How to Use the Portal</w:t>
      </w:r>
    </w:p>
    <w:p>
      <w:pPr>
        <w:pStyle w:val="normal1"/>
        <w:spacing w:lineRule="auto" w:line="240" w:before="0" w:after="120"/>
        <w:rPr/>
      </w:pPr>
      <w:r>
        <w:rPr>
          <w:rFonts w:eastAsia="Aptos" w:cs="Aptos"/>
          <w:sz w:val="21"/>
          <w:szCs w:val="21"/>
        </w:rPr>
        <w:t>The portal should be treated as a guided implementation system, not a file dump. A new teacher should be able to move from the homepage to the current unit, open the weekly guide, launch the matching slide deck, and print only the resources needed for that lesson.</w:t>
      </w:r>
    </w:p>
    <w:p>
      <w:pPr/>
      <w:r>
        <w:rPr>
          <w:b/>
        </w:rPr>
        <w:t>Source-of-truth hierarchy:</w:t>
      </w:r>
      <w:r>
        <w:t xml:space="preserve"> Use the Full Course Implementation Calendar for week, deck, resource, print, and milestone chronology; the Project Approval Tracker for approval status; the syllabus and Grading and Assessment Guide for course weights; Unit 6 Appendix L for the final oral presentation rubric; and Unit 6 Appendix M for public showcase scoring.</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Start with the course proposal and syllabus to understand the purpose and structure of STARLAB.</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Open this Start Here Guide to understand the implementation mindset and first steps.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master implementation calendar to identify the current unit, week, slide deck, and handouts.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unit folder for detailed teaching guidance and student-facing materials.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project tracker and approval system to monitor each student’s progress and readiness.</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showcase and mentor resources when preparing public-facing or partner-facing portions of the course.</w:t>
      </w:r>
    </w:p>
    <w:p>
      <w:pPr>
        <w:pStyle w:val="Heading2"/>
        <w:rPr>
          <w:b/>
          <w:bCs/>
          <w:color w:val="111111"/>
          <w:sz w:val="28"/>
          <w:szCs w:val="28"/>
        </w:rPr>
      </w:pPr>
      <w:r>
        <w:rPr/>
      </w:r>
      <w:r>
        <w:br w:type="page"/>
      </w:r>
    </w:p>
    <w:p>
      <w:pPr>
        <w:pStyle w:val="Heading1"/>
        <w:spacing w:before="0" w:after="0"/>
        <w:rPr/>
      </w:pPr>
      <w:r>
        <w:rPr>
          <w:b/>
          <w:bCs/>
          <w:color w:val="ED1C24"/>
          <w:sz w:val="36"/>
          <w:szCs w:val="36"/>
        </w:rPr>
        <w:t>Before School Starts Checklist</w:t>
      </w:r>
    </w:p>
    <w:p>
      <w:pPr>
        <w:pStyle w:val="normal1"/>
        <w:spacing w:lineRule="auto" w:line="240" w:before="0" w:after="120"/>
        <w:rPr/>
      </w:pPr>
      <w:r>
        <w:rPr>
          <w:rFonts w:eastAsia="Aptos" w:cs="Aptos"/>
          <w:sz w:val="21"/>
          <w:szCs w:val="21"/>
        </w:rPr>
        <w:t>A teacher does not need every project idea, mentor, and supply solved before the course begins. The goal before launch is to have the course structure, first two weeks, tracking systems, and safety boundaries ready.</w:t>
      </w:r>
    </w:p>
    <w:tbl>
      <w:tblPr>
        <w:tblStyle w:val="Table4"/>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Area</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Teacher Action</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Done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Course setup</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Review the proposal, syllabus, Unit 1 guide, and Unit 2 guide. Confirm grading categories and major due dates.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Portal setup</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Create or publish the teacher-facing portal with clear navigation and links to unit folders, decks, handouts, and trackers.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Student access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Decide where students will submit work, store research journals, and maintain project folders.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Project tracker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a spreadsheet for student names, project ideas, approval status, safety concerns, mentor contacts, and next actions.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Safety boundaries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Review local school/district safety rules. Identify project categories that require special approval or will not be allowed.</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Unit 1 print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or digitally assign the Unit 1 student handouts and key appendices needed for the first two weeks.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Examples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examples of strong and weak research questions, engineering design problems, and realistic student projects.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Mentor planning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Draft mentor/community partner outreach, but do not promise placements before students have refined ideas.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Showcase thinking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Tentatively identify a final presentation window, even if details will be finalized later.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bl>
    <w:p>
      <w:pPr>
        <w:pStyle w:val="Heading1"/>
        <w:rPr/>
      </w:pPr>
      <w:r>
        <w:rPr>
          <w:b/>
          <w:bCs/>
          <w:color w:val="ED1C24"/>
          <w:sz w:val="36"/>
          <w:szCs w:val="36"/>
        </w:rPr>
        <w:t>First Two Weeks Checklist</w:t>
      </w:r>
    </w:p>
    <w:p>
      <w:pPr>
        <w:pStyle w:val="normal1"/>
        <w:spacing w:lineRule="auto" w:line="240" w:before="0" w:after="120"/>
        <w:rPr/>
      </w:pPr>
      <w:r>
        <w:rPr>
          <w:rFonts w:eastAsia="Aptos" w:cs="Aptos"/>
          <w:sz w:val="21"/>
          <w:szCs w:val="21"/>
        </w:rPr>
        <w:t>The first two weeks should expand student thinking before narrowing toward project approval. Resist the urge to make students choose final projects too quickly.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1 to launch the research identity shift and introduce STARLAB as authentic research.</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2 to move students from broad topics toward research questions and engineering problems.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3 to establish ethics, safety, and integrity expectations.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4 to build shared vocabulary around experimental and engineering design.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Collect early student interest data, but treat it as exploratory rather than final.</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Begin noting students who need topic support, feasibility support, or safety/ethics redirection.</w:t>
      </w:r>
    </w:p>
    <w:tbl>
      <w:tblPr>
        <w:tblStyle w:val="Table5"/>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Do not rush final project selection</w:t>
            </w:r>
          </w:p>
          <w:p>
            <w:pPr>
              <w:pStyle w:val="normal1"/>
              <w:spacing w:lineRule="auto" w:line="240" w:before="0" w:after="0"/>
              <w:rPr/>
            </w:pPr>
            <w:r>
              <w:rPr>
                <w:rFonts w:eastAsia="Aptos" w:cs="Aptos"/>
                <w:sz w:val="20"/>
                <w:szCs w:val="20"/>
              </w:rPr>
              <w:t>Students who commit too quickly often choose ideas that are too broad, unsafe, unmeasurable, or copied from online project lists. Unit 1 should expand possibilities; Unit 2 should narrow and approve plans.</w:t>
            </w:r>
          </w:p>
        </w:tc>
      </w:tr>
    </w:tbl>
    <w:p>
      <w:pPr>
        <w:pStyle w:val="normal1"/>
        <w:rPr/>
      </w:pPr>
      <w:r>
        <w:rPr/>
      </w:r>
      <w:r>
        <w:br w:type="page"/>
      </w:r>
    </w:p>
    <w:p>
      <w:pPr>
        <w:pStyle w:val="Heading1"/>
        <w:spacing w:before="0" w:after="0"/>
        <w:rPr/>
      </w:pPr>
      <w:r>
        <w:rPr>
          <w:b/>
          <w:bCs/>
          <w:color w:val="ED1C24"/>
          <w:sz w:val="36"/>
          <w:szCs w:val="36"/>
        </w:rPr>
        <w:t>Teacher Mindset Shifts</w:t>
      </w:r>
    </w:p>
    <w:p>
      <w:pPr>
        <w:pStyle w:val="normal1"/>
        <w:spacing w:lineRule="auto" w:line="240" w:before="0" w:after="120"/>
        <w:rPr/>
      </w:pPr>
      <w:r>
        <w:rPr>
          <w:rFonts w:eastAsia="Aptos" w:cs="Aptos"/>
          <w:sz w:val="21"/>
          <w:szCs w:val="21"/>
        </w:rPr>
        <w:t>STARLAB may feel different from a traditional science course. The teacher is still leading the course, but the role shifts from answer provider to research coach, safety gatekeeper, project manager, and scientific writing mentor.</w:t>
      </w:r>
    </w:p>
    <w:tbl>
      <w:tblPr>
        <w:tblStyle w:val="Table6"/>
        <w:tblW w:w="10224" w:type="dxa"/>
        <w:jc w:val="start"/>
        <w:tblInd w:w="-115" w:type="dxa"/>
        <w:tblLayout w:type="fixed"/>
        <w:tblCellMar>
          <w:top w:w="0" w:type="dxa"/>
          <w:start w:w="108" w:type="dxa"/>
          <w:bottom w:w="0" w:type="dxa"/>
          <w:end w:w="108" w:type="dxa"/>
        </w:tblCellMar>
        <w:tblLook w:val="0400"/>
      </w:tblPr>
      <w:tblGrid>
        <w:gridCol w:w="5112"/>
        <w:gridCol w:w="5112"/>
      </w:tblGrid>
      <w:tr>
        <w:trPr>
          <w:tblHeader/>
        </w:trPr>
        <w:tc>
          <w:tcPr>
            <w:tcW w:w="5112"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Instead of thinking...</w:t>
            </w:r>
          </w:p>
        </w:tc>
        <w:tc>
          <w:tcPr>
            <w:tcW w:w="5112"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Think...</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Every student needs the same pathway.</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Every student needs the same core expectations: evidence, ethics, documentation, analysis, communication.</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 need to be the expert on every project.</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 need to ask good questions, require evidence, manage safety, and help students find expertise when needed.</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failed project is a failed course outcome.</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well-documented failure can show authentic scientific thinking and strong learning.</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Students should be working quietly all period.</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Productive research work includes testing, writing, building, reading, conferencing, revising, and troubleshooting.</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The final presentation is the main assessment.</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The final presentation is one product. The research journal, data, revisions, and reasoning are also central evidence of learning.</w:t>
            </w:r>
          </w:p>
        </w:tc>
      </w:tr>
    </w:tbl>
    <w:p>
      <w:pPr>
        <w:pStyle w:val="Heading1"/>
        <w:rPr/>
      </w:pPr>
      <w:r>
        <w:rPr>
          <w:color w:val="ED1C24"/>
          <w:sz w:val="36"/>
          <w:szCs w:val="36"/>
        </w:rPr>
        <w:t>Anticipated</w:t>
      </w:r>
      <w:r>
        <w:rPr>
          <w:b/>
          <w:bCs/>
          <w:color w:val="ED1C24"/>
          <w:sz w:val="36"/>
          <w:szCs w:val="36"/>
        </w:rPr>
        <w:t xml:space="preserve"> New-Teacher Pitfalls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Approving projects before students can explain what data they will collect.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Letting students begin testing before safety, ethics, and materials are reviewed.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Treating research journals as optional or checking them only at the end.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Allowing students to change methods without documenting what changed and why.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Waiting too long to intervene with students who are stuck, behind, or collecting unusable data.</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Grading only final results instead of documented process, revision, and reasoning.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Letting presentations become decorative instead of evidence-centered.</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Trying to personally solve every technical problem rather than helping students find a responsible next step.</w:t>
      </w:r>
    </w:p>
    <w:p>
      <w:pPr>
        <w:pStyle w:val="Heading1"/>
        <w:rPr/>
      </w:pPr>
      <w:r>
        <w:rPr>
          <w:b/>
          <w:bCs/>
          <w:color w:val="ED1C24"/>
          <w:sz w:val="36"/>
          <w:szCs w:val="36"/>
        </w:rPr>
        <w:t>What to Do When Students Are Stuck</w:t>
      </w:r>
    </w:p>
    <w:p>
      <w:pPr>
        <w:pStyle w:val="normal1"/>
        <w:spacing w:lineRule="auto" w:line="240" w:before="0" w:after="120"/>
        <w:rPr/>
      </w:pPr>
      <w:r>
        <w:rPr>
          <w:rFonts w:eastAsia="Aptos" w:cs="Aptos"/>
          <w:sz w:val="21"/>
          <w:szCs w:val="21"/>
        </w:rPr>
        <w:t>Most STARLAB problems are not solved by telling students the answer. They are solved by helping students identify the next specific research action.</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the student to show the current research journal entry, data table, or project plan.</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are you trying to figure out, measure, build, compare, or improve right now?</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evidence do you already have?</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is the smallest next test, revision, reading task, or conference that would move the project forward?</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Require the student to document the next step before leaving the conference.</w:t>
      </w:r>
    </w:p>
    <w:tbl>
      <w:tblPr>
        <w:tblStyle w:val="Table7"/>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Useful default question</w:t>
            </w:r>
          </w:p>
          <w:p>
            <w:pPr>
              <w:pStyle w:val="normal1"/>
              <w:spacing w:lineRule="auto" w:line="240" w:before="0" w:after="0"/>
              <w:rPr/>
            </w:pPr>
            <w:r>
              <w:rPr>
                <w:rFonts w:eastAsia="Aptos" w:cs="Aptos"/>
                <w:sz w:val="20"/>
                <w:szCs w:val="20"/>
              </w:rPr>
              <w:t>What would count as evidence? This single question can clarify vague topics, weak methods, incomplete data plans, and unsupported conclusions.</w:t>
            </w:r>
          </w:p>
        </w:tc>
      </w:tr>
    </w:tbl>
    <w:p>
      <w:pPr>
        <w:pStyle w:val="normal1"/>
        <w:rPr/>
      </w:pPr>
      <w:r>
        <w:rPr/>
      </w:r>
      <w:r>
        <w:br w:type="page"/>
      </w:r>
    </w:p>
    <w:p>
      <w:pPr>
        <w:pStyle w:val="Heading1"/>
        <w:spacing w:before="0" w:after="0"/>
        <w:rPr/>
      </w:pPr>
      <w:r>
        <w:rPr>
          <w:b/>
          <w:bCs/>
          <w:color w:val="ED1C24"/>
          <w:sz w:val="36"/>
          <w:szCs w:val="36"/>
        </w:rPr>
        <w:t>Minimum Systems a Teacher Needs</w:t>
      </w:r>
    </w:p>
    <w:p>
      <w:pPr>
        <w:pStyle w:val="normal1"/>
        <w:spacing w:lineRule="auto" w:line="240" w:before="0" w:after="120"/>
        <w:rPr/>
      </w:pPr>
      <w:r>
        <w:rPr>
          <w:rFonts w:eastAsia="Aptos" w:cs="Aptos"/>
          <w:sz w:val="21"/>
          <w:szCs w:val="21"/>
        </w:rPr>
        <w:t>A new STARLAB teacher does not need a complicated management system, but they do need a few non-negotiable structures.</w:t>
      </w:r>
    </w:p>
    <w:tbl>
      <w:tblPr>
        <w:tblStyle w:val="Table8"/>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System</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Purpose</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Portal Location</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Project tracker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spreadsheet that records each student’s project title, question, type, approval status, next action, current obstacle, and last conference date.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Research journal system</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consistent documentation system that the teacher can access regularly.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Approval workflow</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clear process for moving from idea to plan to safety/ethics review to pilot testing.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Weekly check-ins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routine student progress form or conference cycle so problems surface early.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Resource index</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master list connecting slide decks, unit weeks, handouts, appendices, and print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Showcase timeline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backward-planned calendar for final presentations, poster/slide completion, and practice sessions.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bl>
    <w:p>
      <w:pPr>
        <w:pStyle w:val="Heading1"/>
        <w:rPr/>
      </w:pPr>
      <w:r>
        <w:rPr>
          <w:b/>
          <w:bCs/>
          <w:color w:val="ED1C24"/>
          <w:sz w:val="36"/>
          <w:szCs w:val="36"/>
        </w:rPr>
        <w:t>How to Run a STARLAB Work Day</w:t>
      </w:r>
    </w:p>
    <w:p>
      <w:pPr>
        <w:pStyle w:val="normal1"/>
        <w:spacing w:lineRule="auto" w:line="240" w:before="0" w:after="120"/>
        <w:rPr/>
      </w:pPr>
      <w:r>
        <w:rPr>
          <w:rFonts w:eastAsia="Aptos" w:cs="Aptos"/>
          <w:sz w:val="21"/>
          <w:szCs w:val="21"/>
        </w:rPr>
        <w:t>Work days should feel independent, but they should not feel unstructured. A simple routine keeps research time productive.</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Opening check-in: students identify today’s specific research goal.</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Safety/status check: teacher confirms whether any student is testing, building, using equipment, or changing methods.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Work block: students complete research tasks while teacher conferences with targeted students.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Documentation pause: students update research journals before the end of class.</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Exit check: students record what was completed, what changed, and the next action.</w:t>
      </w:r>
    </w:p>
    <w:p>
      <w:pPr>
        <w:pStyle w:val="Heading1"/>
        <w:rPr/>
      </w:pPr>
      <w:r>
        <w:rPr>
          <w:b/>
          <w:bCs/>
          <w:color w:val="ED1C24"/>
          <w:sz w:val="36"/>
          <w:szCs w:val="36"/>
        </w:rPr>
        <w:t>Approval Language for Teachers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Approved for Pilot Testing; permits only the approved small-scale pilot.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Approved With Modifications; no testing begins until modifications are verified and the tracker is updated to Approved for Pilot Testing.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Revision.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Safety Review or Needs Ethics Review.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Mentor Review.</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Not Approved in Current Form; revise to a safer or more feasible version.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t>Approved for Systematic Data Collection; permits full collection only after a successful pilot and tracker update.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t>Workflow only: Not Started, Idea Screening, Planning In Progress, Ready for Conference, Paused, and Completed; none authorize testing.</w:t>
      </w:r>
    </w:p>
    <w:tbl>
      <w:tblPr>
        <w:tblStyle w:val="Table9"/>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Non-negotiable line</w:t>
            </w:r>
          </w:p>
          <w:p>
            <w:pPr>
              <w:pStyle w:val="normal1"/>
              <w:spacing w:lineRule="auto" w:line="240" w:before="0" w:after="0"/>
              <w:rPr/>
            </w:pPr>
            <w:r>
              <w:rPr>
                <w:rFonts w:eastAsia="Aptos" w:cs="Aptos"/>
                <w:sz w:val="20"/>
                <w:szCs w:val="20"/>
              </w:rPr>
              <w:t>No testing, building, data collection, human subjects work, field sampling, or equipment use begins until the project has the required approval status.</w:t>
            </w:r>
          </w:p>
        </w:tc>
      </w:tr>
    </w:tbl>
    <w:p>
      <w:pPr>
        <w:pStyle w:val="normal1"/>
        <w:rPr/>
      </w:pPr>
      <w:r>
        <w:rPr/>
      </w:r>
      <w:r>
        <w:br w:type="page"/>
      </w:r>
    </w:p>
    <w:p>
      <w:pPr>
        <w:pStyle w:val="Heading1"/>
        <w:spacing w:before="0" w:after="0"/>
        <w:rPr/>
      </w:pPr>
      <w:r>
        <w:rPr>
          <w:b/>
          <w:bCs/>
          <w:color w:val="ED1C24"/>
          <w:sz w:val="36"/>
          <w:szCs w:val="36"/>
        </w:rPr>
        <w:t>Where to Find Everything</w:t>
      </w:r>
    </w:p>
    <w:p>
      <w:pPr>
        <w:pStyle w:val="normal1"/>
        <w:spacing w:lineRule="auto" w:line="240" w:before="0" w:after="120"/>
        <w:rPr/>
      </w:pPr>
      <w:r>
        <w:rPr>
          <w:rFonts w:eastAsia="Aptos" w:cs="Aptos"/>
          <w:sz w:val="21"/>
          <w:szCs w:val="21"/>
        </w:rPr>
        <w:t>A teacher-facing portal should make the course easy to navigate by unit, by week, and by resource type. The table below can serve as the first version of the portal navigation map.</w:t>
      </w:r>
    </w:p>
    <w:tbl>
      <w:tblPr>
        <w:tblStyle w:val="Table10"/>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Need</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Go To</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What You’ll Find</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Understand the course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Course Overview</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Proposal, syllabus, year-at-a-glance, implementation rationale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Teach this week</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Curriculum by Unit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Weekly teaching guide, slide deck, handouts, appendices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Launch a lesson</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Slide Deck Library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Decks 1-19 with speaker notes and resource alignment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student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Packet Index</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Required and optional printouts by deck and week</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Approve projects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Approval and Safety Center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Safety screening, ethics screening, approval checklist, risk matrix</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Track student progress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tracker, conference log, weekly progress forms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Grade work</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Assessment and Rubrics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Rubrics, grade categories, process/product grading guide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Find mentors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Mentor Toolkit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Outreach emails, mentor role description, feedback request templates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final event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Showcase Planning Kit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Visitor guide, schedule, rubrics, invitations, reflection forms</w:t>
            </w:r>
          </w:p>
        </w:tc>
      </w:tr>
    </w:tbl>
    <w:p>
      <w:pPr>
        <w:pStyle w:val="Heading1"/>
        <w:rPr/>
      </w:pPr>
      <w:r>
        <w:rPr>
          <w:b/>
          <w:bCs/>
          <w:color w:val="ED1C24"/>
          <w:sz w:val="36"/>
          <w:szCs w:val="36"/>
        </w:rPr>
        <w:t>Suggested First-Year Implementation Goal</w:t>
      </w:r>
    </w:p>
    <w:p>
      <w:pPr>
        <w:pStyle w:val="normal1"/>
        <w:spacing w:lineRule="auto" w:line="240" w:before="0" w:after="120"/>
        <w:rPr/>
      </w:pPr>
      <w:r>
        <w:rPr>
          <w:rFonts w:eastAsia="Aptos" w:cs="Aptos"/>
          <w:sz w:val="21"/>
          <w:szCs w:val="21"/>
        </w:rPr>
        <w:t>For a first-year STARLAB teacher, success does not require a perfect showcase or university-level research from every student. A strong first year means students experience authentic research habits within a safe, structured system.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develops a feasible research question or engineering problem.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completes a formal plan before testing.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keeps a usable research journal.</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collects, organizes, and interprets some form of evidence.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communicates findings honestly, including limitations.</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reflects on growth, failure, revision, and next steps.</w:t>
      </w:r>
    </w:p>
    <w:tbl>
      <w:tblPr>
        <w:tblStyle w:val="Table11"/>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Final reminder for new teachers</w:t>
            </w:r>
          </w:p>
          <w:p>
            <w:pPr>
              <w:pStyle w:val="normal1"/>
              <w:spacing w:lineRule="auto" w:line="240" w:before="0" w:after="0"/>
              <w:rPr/>
            </w:pPr>
            <w:r>
              <w:rPr>
                <w:rFonts w:eastAsia="Aptos" w:cs="Aptos"/>
                <w:sz w:val="20"/>
                <w:szCs w:val="20"/>
              </w:rPr>
              <w:t>STARLAB should feel ambitious, but not chaotic. The course works when teachers protect the structure while allowing students to experience authentic uncertainty within that structure.</w:t>
            </w:r>
          </w:p>
        </w:tc>
      </w:tr>
    </w:tbl>
    <w:p>
      <w:pPr>
        <w:pStyle w:val="normal1"/>
        <w:keepNext w:val="false"/>
        <w:keepLines w:val="false"/>
        <w:pageBreakBefore w:val="false"/>
        <w:widowControl w:val="false"/>
        <w:pBdr/>
        <w:shd w:val="clear" w:fill="auto"/>
        <w:spacing w:lineRule="auto" w:line="276" w:before="0" w:after="0"/>
        <w:ind w:hanging="0" w:start="0" w:end="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792" w:footer="720" w:bottom="79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embedRegular r:id="rId1" w:fontKey="{01014A78-CABC-4EF0-12AC-5CD89AEFDE01}"/>
    <w:embedBold r:id="rId2" w:fontKey="{02014A78-CABC-4EF0-12AC-5CD89AEFDE02}"/>
    <w:embedItalic r:id="rId3" w:fontKey="{03014A78-CABC-4EF0-12AC-5CD89AEFDE03}"/>
  </w:font>
  <w:font w:name="Calibri">
    <w:charset w:val="01" w:characterSet="utf-8"/>
    <w:family w:val="roman"/>
    <w:pitch w:val="variable"/>
  </w:font>
  <w:font w:name="Liberation Sans">
    <w:altName w:val="Arial"/>
    <w:charset w:val="01" w:characterSet="utf-8"/>
    <w:family w:val="swiss"/>
    <w:pitch w:val="variable"/>
  </w:font>
  <w:font w:name="Noto Sans Symbols">
    <w:charset w:val="01"/>
    <w:family w:val="swiss"/>
    <w:pitch w:val="default"/>
    <w:embedRegular r:id="rId4" w:fontKey="{04014A78-CABC-4EF0-12AC-5CD89AEFDE04}"/>
    <w:embedBold r:id="rId5" w:fontKey="{05014A78-CABC-4EF0-12AC-5CD89AEFDE05}"/>
    <w:embedItalic r:id="rId6" w:fontKey="{06014A78-CABC-4EF0-12AC-5CD89AEFDE06}"/>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Science Through Advanced Research, Learning, Application, and Building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Science Through Advanced Research, Learning, Application, and Building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STARLAB START HERE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STARLAB START HERE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0"/>
        </w:tabs>
        <w:ind w:start="36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Aptos" w:hAnsi="Aptos" w:eastAsia="Aptos" w:cs="Aptos"/>
      <w:color w:val="auto"/>
      <w:kern w:val="0"/>
      <w:sz w:val="21"/>
      <w:szCs w:val="21"/>
      <w:lang w:val="en-US" w:eastAsia="zh-CN" w:bidi="hi-IN"/>
    </w:rPr>
  </w:style>
  <w:style w:type="paragraph" w:styleId="Heading1">
    <w:name w:val="heading 1"/>
    <w:basedOn w:val="normal1"/>
    <w:next w:val="normal1"/>
    <w:qFormat/>
    <w:pPr>
      <w:keepNext w:val="true"/>
      <w:keepLines/>
      <w:spacing w:lineRule="auto" w:line="240" w:before="480" w:after="0"/>
    </w:pPr>
    <w:rPr>
      <w:rFonts w:ascii="Play" w:hAnsi="Play" w:eastAsia="Play" w:cs="Play"/>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Play" w:hAnsi="Play" w:eastAsia="Play" w:cs="Play"/>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Play" w:hAnsi="Play" w:eastAsia="Play" w:cs="Play"/>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200"/>
      <w:jc w:val="start"/>
    </w:pPr>
    <w:rPr>
      <w:rFonts w:ascii="Aptos" w:hAnsi="Aptos" w:eastAsia="Aptos" w:cs="Aptos"/>
      <w:color w:val="auto"/>
      <w:kern w:val="0"/>
      <w:sz w:val="21"/>
      <w:szCs w:val="21"/>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LibreOffice/26.2.1.2$MacOSX_AARCH64 LibreOffice_project/8399f6259d8c87f40e7255cdb3c9b958f5e08948</Application>
  <AppVersion>15.0000</AppVersion>
  <Pages>9</Pages>
  <Words>1859</Words>
  <Characters>10846</Characters>
  <CharactersWithSpaces>12449</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STARLAB</dc:creator>
  <dc:description/>
  <dc:language>en-US</dc:language>
  <cp:lastModifiedBy/>
  <dcterms:modified xsi:type="dcterms:W3CDTF">2026-05-29T13:20:26Z</dcterms:modified>
  <cp:revision>1</cp:revision>
  <dc:subject/>
  <dc:title>STARLAB Start Here Guide</dc:title>
  <cp:category>STARLAB Curriculum</cp:category>
  <cp:keywords>STARLAB, start here, implementation calendar, approval tracker, rubric authority</cp:keywords>
</cp:coreProperties>
</file>