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>
      <w:pPr>
        <w:pStyle w:val="STARLABKicker"/>
      </w:pPr>
      <w:r>
        <w:rPr>
          <w:rFonts w:ascii="Arial" w:hAnsi="Arial" w:eastAsia="Arial" w:cs="Arial"/>
          <w:color w:val="E31B23"/>
          <w:sz w:val="18"/>
          <w:szCs w:val="18"/>
          <w:b w:val="1"/>
        </w:rPr>
        <w:t>STARLAB</w:t>
      </w:r>
    </w:p>
    <w:p w:rsidR="00000000" w:rsidDel="00000000" w:rsidP="00000000" w:rsidRDefault="00000000" w:rsidRPr="00000000" w14:paraId="000003BC">
      <w:pPr>
        <w:pStyle w:val="STARLABResourceTitle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r>
        <w:rPr>
          <w:rFonts w:ascii="Arial" w:hAnsi="Arial" w:eastAsia="Arial" w:cs="Arial"/>
          <w:color w:val="111111"/>
          <w:sz w:val="38"/>
          <w:szCs w:val="38"/>
          <w:b w:val="1"/>
        </w:rPr>
        <w:t>Differentiation and Implementation Notes</w:t>
      </w:r>
    </w:p>
    <w:p>
      <w:pPr>
        <w:pStyle w:val="STARLABResourceMeta"/>
      </w:pPr>
      <w:r>
        <w:rPr>
          <w:rFonts w:ascii="Arial" w:hAnsi="Arial" w:eastAsia="Arial" w:cs="Arial"/>
          <w:color w:val="555555"/>
          <w:sz w:val="17"/>
          <w:szCs w:val="17"/>
          <w:b w:val="1"/>
        </w:rPr>
        <w:t>Unit 1 | Appendix L | Week 1 | Optional / Teacher Reference</w:t>
      </w:r>
    </w:p>
    <w:p>
      <w:pPr>
        <w:pStyle w:val="STARLABDivider"/>
        <w:pBdr>
          <w:bottom w:val="single" w:sz="12" w:space="1" w:color="E31B23"/>
        </w:pBdr>
      </w:pPr>
    </w:p>
    <w:p w:rsidR="00000000" w:rsidDel="00000000" w:rsidP="00000000" w:rsidRDefault="00000000" w:rsidRPr="00000000" w14:paraId="000003BD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29lab689cbqu" w:id="151"/>
      <w:bookmarkEnd w:id="151"/>
      <w:r w:rsidDel="00000000" w:rsidR="00000000" w:rsidRPr="00000000">
        <w:rPr>
          <w:rFonts w:ascii="Arial" w:hAnsi="Arial" w:eastAsia="Arial" w:cs="Arial"/>
          <w:b w:val="1"/>
          <w:bCs w:val="1"/>
          <w:sz w:val="22"/>
          <w:szCs w:val="22"/>
          <w:rtl w:val="0"/>
          <w:color w:val="111111"/>
        </w:rPr>
        <w:t xml:space="preserve">For Students Who Already Have a Project Idea</w:t>
      </w:r>
    </w:p>
    <w:p w:rsidR="00000000" w:rsidDel="00000000" w:rsidP="00000000" w:rsidRDefault="00000000" w:rsidRPr="00000000" w14:paraId="000003BE">
      <w:pPr>
        <w:spacing w:after="240" w:before="240" w:lineRule="auto"/>
        <w:rPr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18"/>
          <w:szCs w:val="18"/>
        </w:rPr>
        <w:t xml:space="preserve">Do not let students skip the process. Instead, have them use the handouts to test the quality of their idea. Ask them to identify variables, data sources, feasibility, safety, and originality.</w:t>
      </w:r>
    </w:p>
    <w:p w:rsidR="00000000" w:rsidDel="00000000" w:rsidP="00000000" w:rsidRDefault="00000000" w:rsidRPr="00000000" w14:paraId="000003BF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9j0ugn2dc95c" w:id="152"/>
      <w:bookmarkEnd w:id="152"/>
      <w:r w:rsidDel="00000000" w:rsidR="00000000" w:rsidRPr="00000000">
        <w:rPr>
          <w:rFonts w:ascii="Arial" w:hAnsi="Arial" w:eastAsia="Arial" w:cs="Arial"/>
          <w:b w:val="1"/>
          <w:bCs w:val="1"/>
          <w:sz w:val="22"/>
          <w:szCs w:val="22"/>
          <w:rtl w:val="0"/>
          <w:color w:val="111111"/>
        </w:rPr>
        <w:t xml:space="preserve">For Students Who Have No Idea Yet</w:t>
      </w:r>
    </w:p>
    <w:p w:rsidR="00000000" w:rsidDel="00000000" w:rsidP="00000000" w:rsidRDefault="00000000" w:rsidRPr="00000000" w14:paraId="000003C0">
      <w:pPr>
        <w:spacing w:after="240" w:before="240" w:lineRule="auto"/>
        <w:rPr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18"/>
          <w:szCs w:val="18"/>
        </w:rPr>
        <w:t xml:space="preserve">Encourage them to begin with interests, problems, hobbies, or skills. Some students find projects through topics they care about, while others find projects through tools they want to use.</w:t>
      </w:r>
    </w:p>
    <w:p w:rsidR="00000000" w:rsidDel="00000000" w:rsidP="00000000" w:rsidRDefault="00000000" w:rsidRPr="00000000" w14:paraId="000003C1">
      <w:pPr>
        <w:spacing w:after="240" w:before="240" w:lineRule="auto"/>
        <w:rPr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18"/>
          <w:szCs w:val="18"/>
        </w:rPr>
        <w:t xml:space="preserve">Helpful prompts:</w:t>
      </w:r>
    </w:p>
    <w:p w:rsidR="00000000" w:rsidDel="00000000" w:rsidP="00000000" w:rsidRDefault="00000000" w:rsidRPr="00000000" w14:paraId="000003C2">
      <w:pPr>
        <w:pStyle w:val="STARLABPrompt"/>
        <w:numPr>
          <w:ilvl w:val="0"/>
          <w:numId w:val="5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20"/>
          <w:szCs w:val="20"/>
          <w:b w:val="1"/>
        </w:rPr>
        <w:t xml:space="preserve">What do you complain about that science or engineering could improve?</w:t>
      </w:r>
    </w:p>
    <w:p w:rsidR="00000000" w:rsidDel="00000000" w:rsidP="00000000" w:rsidRDefault="00000000" w:rsidRPr="00000000" w14:paraId="000003C3">
      <w:pPr>
        <w:pStyle w:val="STARLABPrompt"/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20"/>
          <w:szCs w:val="20"/>
          <w:b w:val="1"/>
        </w:rPr>
        <w:t xml:space="preserve">What do you enjoy building, fixing, observing, or analyzing?</w:t>
      </w:r>
    </w:p>
    <w:p w:rsidR="00000000" w:rsidDel="00000000" w:rsidP="00000000" w:rsidRDefault="00000000" w:rsidRPr="00000000" w14:paraId="000003C4">
      <w:pPr>
        <w:pStyle w:val="STARLABPrompt"/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20"/>
          <w:szCs w:val="20"/>
          <w:b w:val="1"/>
        </w:rPr>
        <w:t xml:space="preserve">What topic would you willingly read about outside of school?</w:t>
      </w:r>
    </w:p>
    <w:p w:rsidR="00000000" w:rsidDel="00000000" w:rsidP="00000000" w:rsidRDefault="00000000" w:rsidRPr="00000000" w14:paraId="000003C5">
      <w:pPr>
        <w:pStyle w:val="STARLABPrompt"/>
        <w:numPr>
          <w:ilvl w:val="0"/>
          <w:numId w:val="5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20"/>
          <w:szCs w:val="20"/>
          <w:b w:val="1"/>
        </w:rPr>
        <w:t xml:space="preserve">What local problem could be studied scientifically?</w:t>
      </w:r>
    </w:p>
    <w:p w:rsidR="00000000" w:rsidDel="00000000" w:rsidP="00000000" w:rsidRDefault="00000000" w:rsidRPr="00000000" w14:paraId="000003C6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3qetj7v4da7u" w:id="153"/>
      <w:bookmarkEnd w:id="153"/>
      <w:r w:rsidDel="00000000" w:rsidR="00000000" w:rsidRPr="00000000">
        <w:rPr>
          <w:rFonts w:ascii="Arial" w:hAnsi="Arial" w:eastAsia="Arial" w:cs="Arial"/>
          <w:b w:val="1"/>
          <w:bCs w:val="1"/>
          <w:sz w:val="22"/>
          <w:szCs w:val="22"/>
          <w:rtl w:val="0"/>
          <w:color w:val="111111"/>
        </w:rPr>
        <w:t xml:space="preserve">For Students Who Choose Projects That Are Too Broad</w:t>
      </w:r>
    </w:p>
    <w:p w:rsidR="00000000" w:rsidDel="00000000" w:rsidP="00000000" w:rsidRDefault="00000000" w:rsidRPr="00000000" w14:paraId="000003C7">
      <w:pPr>
        <w:spacing w:after="240" w:before="240" w:lineRule="auto"/>
        <w:rPr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18"/>
          <w:szCs w:val="18"/>
        </w:rPr>
        <w:t xml:space="preserve">Ask:</w:t>
      </w:r>
    </w:p>
    <w:p w:rsidR="00000000" w:rsidDel="00000000" w:rsidP="00000000" w:rsidRDefault="00000000" w:rsidRPr="00000000" w14:paraId="000003C8">
      <w:pPr>
        <w:pStyle w:val="STARLABPrompt"/>
        <w:numPr>
          <w:ilvl w:val="0"/>
          <w:numId w:val="39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20"/>
          <w:szCs w:val="20"/>
          <w:b w:val="1"/>
        </w:rPr>
        <w:t xml:space="preserve">What is one small part of this topic you could measure?</w:t>
      </w:r>
    </w:p>
    <w:p w:rsidR="00000000" w:rsidDel="00000000" w:rsidP="00000000" w:rsidRDefault="00000000" w:rsidRPr="00000000" w14:paraId="000003C9">
      <w:pPr>
        <w:pStyle w:val="STARLABPrompt"/>
        <w:numPr>
          <w:ilvl w:val="0"/>
          <w:numId w:val="3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20"/>
          <w:szCs w:val="20"/>
          <w:b w:val="1"/>
        </w:rPr>
        <w:t xml:space="preserve">What comparison could you make?</w:t>
      </w:r>
    </w:p>
    <w:p w:rsidR="00000000" w:rsidDel="00000000" w:rsidP="00000000" w:rsidRDefault="00000000" w:rsidRPr="00000000" w14:paraId="000003CA">
      <w:pPr>
        <w:pStyle w:val="STARLABPrompt"/>
        <w:numPr>
          <w:ilvl w:val="0"/>
          <w:numId w:val="39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20"/>
          <w:szCs w:val="20"/>
          <w:b w:val="1"/>
        </w:rPr>
        <w:t xml:space="preserve">What would fit into a four-week pilot study?</w:t>
      </w:r>
    </w:p>
    <w:p w:rsidR="00000000" w:rsidDel="00000000" w:rsidP="00000000" w:rsidRDefault="00000000" w:rsidRPr="00000000" w14:paraId="000003CB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muavgzgudazf" w:id="154"/>
      <w:bookmarkEnd w:id="154"/>
      <w:r w:rsidDel="00000000" w:rsidR="00000000" w:rsidRPr="00000000">
        <w:rPr>
          <w:rFonts w:ascii="Arial" w:hAnsi="Arial" w:eastAsia="Arial" w:cs="Arial"/>
          <w:b w:val="1"/>
          <w:bCs w:val="1"/>
          <w:sz w:val="22"/>
          <w:szCs w:val="22"/>
          <w:rtl w:val="0"/>
          <w:color w:val="111111"/>
        </w:rPr>
        <w:t xml:space="preserve">For Students Who Choose Projects That Are Unsafe or Unethical</w:t>
      </w:r>
    </w:p>
    <w:p w:rsidR="00000000" w:rsidDel="00000000" w:rsidP="00000000" w:rsidRDefault="00000000" w:rsidRPr="00000000" w14:paraId="000003CC">
      <w:pPr>
        <w:spacing w:after="240" w:before="240" w:lineRule="auto"/>
        <w:rPr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18"/>
          <w:szCs w:val="18"/>
        </w:rPr>
        <w:t xml:space="preserve">Validate the curiosity while redirecting the method.</w:t>
      </w:r>
    </w:p>
    <w:p w:rsidR="00000000" w:rsidDel="00000000" w:rsidP="00000000" w:rsidRDefault="00000000" w:rsidRPr="00000000" w14:paraId="000003CD">
      <w:pPr>
        <w:spacing w:after="240" w:before="240" w:lineRule="auto"/>
        <w:rPr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18"/>
          <w:szCs w:val="18"/>
        </w:rPr>
        <w:t xml:space="preserve">Example:</w:t>
      </w:r>
    </w:p>
    <w:p w:rsidR="00000000" w:rsidDel="00000000" w:rsidP="00000000" w:rsidRDefault="00000000" w:rsidRPr="00000000" w14:paraId="000003CE">
      <w:pPr>
        <w:spacing w:after="240" w:before="240" w:lineRule="auto"/>
        <w:rPr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18"/>
          <w:szCs w:val="18"/>
        </w:rPr>
        <w:t xml:space="preserve">“That question is interesting, but we cannot test it in that way. Let’s think about a safer model, simulation, public dataset, or non-human alternative.”</w:t>
      </w:r>
    </w:p>
    <w:p w:rsidR="00000000" w:rsidDel="00000000" w:rsidP="00000000" w:rsidRDefault="00000000" w:rsidRPr="00000000" w14:paraId="000003CF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d7lciufy5jy2" w:id="155"/>
      <w:bookmarkEnd w:id="155"/>
      <w:r w:rsidDel="00000000" w:rsidR="00000000" w:rsidRPr="00000000">
        <w:rPr>
          <w:rFonts w:ascii="Arial" w:hAnsi="Arial" w:eastAsia="Arial" w:cs="Arial"/>
          <w:b w:val="1"/>
          <w:bCs w:val="1"/>
          <w:sz w:val="22"/>
          <w:szCs w:val="22"/>
          <w:rtl w:val="0"/>
          <w:color w:val="111111"/>
        </w:rPr>
        <w:t xml:space="preserve">For Mixed Project Types</w:t>
      </w:r>
    </w:p>
    <w:p w:rsidR="00000000" w:rsidDel="00000000" w:rsidP="00000000" w:rsidRDefault="00000000" w:rsidRPr="00000000" w14:paraId="000003D0">
      <w:pPr>
        <w:spacing w:after="240" w:before="240" w:lineRule="auto"/>
        <w:rPr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18"/>
          <w:szCs w:val="18"/>
        </w:rPr>
        <w:t xml:space="preserve">Encourage students to choose the planning path that fits their project:</w:t>
      </w:r>
    </w:p>
    <w:p w:rsidR="00000000" w:rsidDel="00000000" w:rsidP="00000000" w:rsidRDefault="00000000" w:rsidRPr="00000000" w14:paraId="000003D1">
      <w:pPr>
        <w:numPr>
          <w:ilvl w:val="0"/>
          <w:numId w:val="4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18"/>
          <w:szCs w:val="18"/>
        </w:rPr>
        <w:t xml:space="preserve">Experimental science path</w:t>
      </w:r>
    </w:p>
    <w:p w:rsidR="00000000" w:rsidDel="00000000" w:rsidP="00000000" w:rsidRDefault="00000000" w:rsidRPr="00000000" w14:paraId="000003D2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18"/>
          <w:szCs w:val="18"/>
        </w:rPr>
        <w:t xml:space="preserve">Engineering design path</w:t>
      </w:r>
    </w:p>
    <w:p w:rsidR="00000000" w:rsidDel="00000000" w:rsidP="00000000" w:rsidRDefault="00000000" w:rsidRPr="00000000" w14:paraId="000003D3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18"/>
          <w:szCs w:val="18"/>
        </w:rPr>
        <w:t xml:space="preserve">Computational or data analysis path</w:t>
      </w:r>
    </w:p>
    <w:p w:rsidR="00000000" w:rsidDel="00000000" w:rsidP="00000000" w:rsidRDefault="00000000" w:rsidRPr="00000000" w14:paraId="000003D4">
      <w:pPr>
        <w:numPr>
          <w:ilvl w:val="0"/>
          <w:numId w:val="4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18"/>
          <w:szCs w:val="18"/>
        </w:rPr>
        <w:t xml:space="preserve">Observational research path</w:t>
      </w:r>
    </w:p>
    <w:p w:rsidR="00000000" w:rsidDel="00000000" w:rsidP="00000000" w:rsidRDefault="00000000" w:rsidRPr="00000000" w14:paraId="000003D5">
      <w:pPr>
        <w:spacing w:after="240" w:before="240" w:lineRule="auto"/>
        <w:rPr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18"/>
          <w:szCs w:val="18"/>
        </w:rPr>
        <w:t xml:space="preserve">All paths must still include evidence, documentation, ethics, and communication.</w:t>
      </w:r>
    </w:p>
    <w:sectPr>
      <w:headerReference w:type="default" r:id="rId6"/>
      <w:footerReference w:type="default" r:id="rId7"/>
      <w:pgSz w:h="15840" w:w="12240"/>
      <w:pgMar w:bottom="936" w:top="936" w:left="1440" w:right="1440" w:header="504" w:footer="504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40" w:after="0"/>
      <w:jc w:val="center"/>
    </w:pPr>
    <w:r>
      <w:rPr>
        <w:rFonts w:ascii="Arial" w:hAnsi="Arial" w:eastAsia="Arial" w:cs="Arial"/>
        <w:color w:val="555555"/>
        <w:sz w:val="16"/>
        <w:szCs w:val="16"/>
        <w:b w:val="0"/>
      </w:rPr>
      <w:t xml:space="preserve">STARLAB | UNIT 1 | APPENDIX L | PAGE </w:t>
    </w:r>
    <w:r>
      <w:rPr>
        <w:rFonts w:ascii="Arial" w:hAnsi="Arial" w:eastAsia="Arial" w:cs="Arial"/>
        <w:color w:val="555555"/>
        <w:sz w:val="16"/>
        <w:szCs w:val="16"/>
        <w:b w:val="0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8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8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9">
    <w:lvl w:ilvl="0">
      <w:start w:val="4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4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5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7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4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5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7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5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53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5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7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58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59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3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4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5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6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7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7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7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8">
    <w:abstractNumId w:val="28"/>
  </w:num>
  <w:num w:numId="29">
    <w:abstractNumId w:val="29"/>
  </w:num>
  <w:num w:numId="30">
    <w:abstractNumId w:val="30"/>
  </w:num>
  <w:num w:numId="31">
    <w:abstractNumId w:val="31"/>
  </w:num>
  <w:num w:numId="32">
    <w:abstractNumId w:val="32"/>
  </w:num>
  <w:num w:numId="33">
    <w:abstractNumId w:val="33"/>
  </w:num>
  <w:num w:numId="34">
    <w:abstractNumId w:val="34"/>
  </w:num>
  <w:num w:numId="35">
    <w:abstractNumId w:val="35"/>
  </w:num>
  <w:num w:numId="36">
    <w:abstractNumId w:val="36"/>
  </w:num>
  <w:num w:numId="37">
    <w:abstractNumId w:val="37"/>
  </w:num>
  <w:num w:numId="38">
    <w:abstractNumId w:val="38"/>
  </w:num>
  <w:num w:numId="39">
    <w:abstractNumId w:val="39"/>
  </w:num>
  <w:num w:numId="40">
    <w:abstractNumId w:val="40"/>
  </w:num>
  <w:num w:numId="41">
    <w:abstractNumId w:val="41"/>
  </w:num>
  <w:num w:numId="42">
    <w:abstractNumId w:val="42"/>
  </w:num>
  <w:num w:numId="43">
    <w:abstractNumId w:val="43"/>
  </w:num>
  <w:num w:numId="44">
    <w:abstractNumId w:val="44"/>
  </w:num>
  <w:num w:numId="45">
    <w:abstractNumId w:val="45"/>
  </w:num>
  <w:num w:numId="46">
    <w:abstractNumId w:val="46"/>
  </w:num>
  <w:num w:numId="47">
    <w:abstractNumId w:val="47"/>
  </w:num>
  <w:num w:numId="48">
    <w:abstractNumId w:val="48"/>
  </w:num>
  <w:num w:numId="49">
    <w:abstractNumId w:val="49"/>
  </w:num>
  <w:num w:numId="50">
    <w:abstractNumId w:val="50"/>
  </w:num>
  <w:num w:numId="51">
    <w:abstractNumId w:val="51"/>
  </w:num>
  <w:num w:numId="52">
    <w:abstractNumId w:val="52"/>
  </w:num>
  <w:num w:numId="53">
    <w:abstractNumId w:val="53"/>
  </w:num>
  <w:num w:numId="54">
    <w:abstractNumId w:val="54"/>
  </w:num>
  <w:num w:numId="55">
    <w:abstractNumId w:val="55"/>
  </w:num>
  <w:num w:numId="56">
    <w:abstractNumId w:val="56"/>
  </w:num>
  <w:num w:numId="57">
    <w:abstractNumId w:val="57"/>
  </w:num>
  <w:num w:numId="58">
    <w:abstractNumId w:val="58"/>
  </w:num>
  <w:num w:numId="59">
    <w:abstractNumId w:val="59"/>
  </w:num>
  <w:num w:numId="60">
    <w:abstractNumId w:val="60"/>
  </w:num>
  <w:num w:numId="61">
    <w:abstractNumId w:val="61"/>
  </w:num>
  <w:num w:numId="62">
    <w:abstractNumId w:val="62"/>
  </w:num>
  <w:num w:numId="63">
    <w:abstractNumId w:val="63"/>
  </w:num>
  <w:num w:numId="64">
    <w:abstractNumId w:val="64"/>
  </w:num>
  <w:num w:numId="65">
    <w:abstractNumId w:val="65"/>
  </w:num>
  <w:num w:numId="66">
    <w:abstractNumId w:val="66"/>
  </w:num>
  <w:num w:numId="67">
    <w:abstractNumId w:val="67"/>
  </w:num>
  <w:num w:numId="68">
    <w:abstractNumId w:val="68"/>
  </w:num>
  <w:num w:numId="69">
    <w:abstractNumId w:val="69"/>
  </w:num>
  <w:num w:numId="70">
    <w:abstractNumId w:val="70"/>
  </w:num>
  <w:num w:numId="71">
    <w:abstractNumId w:val="71"/>
  </w:num>
  <w:num w:numId="72">
    <w:abstractNumId w:val="7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  <w:pPr>
      <w:keepLines w:val="0"/>
      <w:spacing w:before="0" w:after="40" w:line="240" w:lineRule="auto"/>
    </w:pPr>
    <w:rPr>
      <w:rFonts w:ascii="Arial" w:hAnsi="Arial" w:eastAsia="Arial"/>
      <w:b w:val="0"/>
      <w:color w:val="111111"/>
      <w:sz w:val="18"/>
    </w:rPr>
  </w:style>
  <w:style w:type="paragraph" w:styleId="Heading1">
    <w:name w:val="heading 1"/>
    <w:basedOn w:val="Normal"/>
    <w:next w:val="Normal"/>
    <w:pPr>
      <w:keepNext/>
      <w:keepLines w:val="1"/>
      <w:pageBreakBefore w:val="0"/>
      <w:spacing w:after="60" w:before="180" w:lineRule="auto" w:line="240"/>
    </w:pPr>
    <w:rPr>
      <w:rFonts w:ascii="Arial" w:hAnsi="Arial" w:eastAsia="Arial"/>
      <w:b/>
      <w:color w:val="E31B23"/>
      <w:sz w:val="27"/>
      <w:szCs w:val="40"/>
    </w:rPr>
  </w:style>
  <w:style w:type="paragraph" w:styleId="Heading2">
    <w:name w:val="heading 2"/>
    <w:basedOn w:val="Normal"/>
    <w:next w:val="Normal"/>
    <w:pPr>
      <w:keepNext/>
      <w:keepLines w:val="1"/>
      <w:pageBreakBefore w:val="0"/>
      <w:spacing w:after="40" w:before="120" w:lineRule="auto" w:line="240"/>
    </w:pPr>
    <w:rPr>
      <w:rFonts w:ascii="Arial" w:hAnsi="Arial" w:eastAsia="Arial"/>
      <w:b/>
      <w:bCs w:val="0"/>
      <w:color w:val="111111"/>
      <w:sz w:val="22"/>
      <w:szCs w:val="32"/>
    </w:rPr>
  </w:style>
  <w:style w:type="paragraph" w:styleId="Heading3">
    <w:name w:val="heading 3"/>
    <w:basedOn w:val="Normal"/>
    <w:next w:val="Normal"/>
    <w:pPr>
      <w:keepNext/>
      <w:keepLines w:val="1"/>
      <w:pageBreakBefore w:val="0"/>
      <w:spacing w:after="40" w:before="100" w:lineRule="auto" w:line="240"/>
    </w:pPr>
    <w:rPr>
      <w:rFonts w:ascii="Arial" w:hAnsi="Arial" w:eastAsia="Arial"/>
      <w:b/>
      <w:bCs w:val="0"/>
      <w:color w:val="555555"/>
      <w:sz w:val="20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  <w:style w:type="table" w:styleId="Table2">
    <w:basedOn w:val="TableNormal"/>
    <w:tblPr>
      <w:tblStyleRowBandSize w:val="1"/>
      <w:tblStyleColBandSize w:val="1"/>
      <w:tblCellMar/>
    </w:tblPr>
  </w:style>
  <w:style w:type="table" w:styleId="Table3">
    <w:basedOn w:val="TableNormal"/>
    <w:tblPr>
      <w:tblStyleRowBandSize w:val="1"/>
      <w:tblStyleColBandSize w:val="1"/>
      <w:tblCellMar/>
    </w:tblPr>
  </w:style>
  <w:style w:type="table" w:styleId="Table4">
    <w:basedOn w:val="TableNormal"/>
    <w:tblPr>
      <w:tblStyleRowBandSize w:val="1"/>
      <w:tblStyleColBandSize w:val="1"/>
      <w:tblCellMar/>
    </w:tblPr>
  </w:style>
  <w:style w:type="table" w:styleId="Table5">
    <w:basedOn w:val="TableNormal"/>
    <w:tblPr>
      <w:tblStyleRowBandSize w:val="1"/>
      <w:tblStyleColBandSize w:val="1"/>
      <w:tblCellMar/>
    </w:tblPr>
  </w:style>
  <w:style w:type="table" w:styleId="Table6">
    <w:basedOn w:val="TableNormal"/>
    <w:tblPr>
      <w:tblStyleRowBandSize w:val="1"/>
      <w:tblStyleColBandSize w:val="1"/>
      <w:tblCellMar/>
    </w:tblPr>
  </w:style>
  <w:style w:type="table" w:styleId="Table7">
    <w:basedOn w:val="TableNormal"/>
    <w:tblPr>
      <w:tblStyleRowBandSize w:val="1"/>
      <w:tblStyleColBandSize w:val="1"/>
      <w:tblCellMar/>
    </w:tblPr>
  </w:style>
  <w:style w:type="paragraph" w:customStyle="1" w:styleId="STARLABKicker">
    <w:name w:val="STARLAB Kicker"/>
    <w:pPr>
      <w:spacing w:before="0" w:after="60" w:line="240" w:lineRule="auto"/>
    </w:pPr>
    <w:rPr>
      <w:rFonts w:ascii="Arial" w:hAnsi="Arial" w:eastAsia="Arial"/>
      <w:b/>
      <w:caps/>
      <w:color w:val="E31B23"/>
      <w:sz w:val="18"/>
    </w:rPr>
  </w:style>
  <w:style w:type="paragraph" w:customStyle="1" w:styleId="STARLABResourceTitle">
    <w:name w:val="STARLAB Resource Title"/>
    <w:pPr>
      <w:spacing w:before="0" w:after="60" w:line="240" w:lineRule="auto"/>
    </w:pPr>
    <w:rPr>
      <w:rFonts w:ascii="Arial" w:hAnsi="Arial" w:eastAsia="Arial"/>
      <w:b/>
      <w:color w:val="111111"/>
      <w:sz w:val="38"/>
    </w:rPr>
  </w:style>
  <w:style w:type="paragraph" w:customStyle="1" w:styleId="STARLABResourceMeta">
    <w:name w:val="STARLAB Resource Meta"/>
    <w:pPr>
      <w:spacing w:before="0" w:after="80" w:line="240" w:lineRule="auto"/>
    </w:pPr>
    <w:rPr>
      <w:rFonts w:ascii="Arial" w:hAnsi="Arial" w:eastAsia="Arial"/>
      <w:b/>
      <w:color w:val="555555"/>
      <w:sz w:val="17"/>
    </w:rPr>
  </w:style>
  <w:style w:type="paragraph" w:customStyle="1" w:styleId="STARLABDivider">
    <w:name w:val="STARLAB Divider"/>
    <w:pPr>
      <w:spacing w:before="0" w:after="160" w:line="240" w:lineRule="auto"/>
    </w:pPr>
    <w:rPr>
      <w:rFonts w:ascii="Arial" w:hAnsi="Arial" w:eastAsia="Arial"/>
      <w:b w:val="0"/>
      <w:color w:val="E31B23"/>
      <w:sz w:val="4"/>
    </w:rPr>
  </w:style>
  <w:style w:type="paragraph" w:customStyle="1" w:styleId="STARLABPrompt">
    <w:name w:val="STARLAB Prompt"/>
    <w:pPr>
      <w:spacing w:before="60" w:after="40" w:line="247" w:lineRule="auto"/>
    </w:pPr>
    <w:rPr>
      <w:rFonts w:ascii="Arial" w:hAnsi="Arial" w:eastAsia="Arial"/>
      <w:b/>
      <w:color w:val="111111"/>
      <w:sz w:val="20"/>
    </w:rPr>
  </w:style>
  <w:style w:type="paragraph" w:customStyle="1" w:styleId="STARLABUseNote">
    <w:name w:val="STARLAB Use Note"/>
    <w:pPr>
      <w:spacing w:before="0" w:after="80" w:line="247" w:lineRule="auto"/>
    </w:pPr>
    <w:rPr>
      <w:rFonts w:ascii="Arial" w:hAnsi="Arial" w:eastAsia="Arial"/>
      <w:b w:val="0"/>
      <w:color w:val="555555"/>
      <w:sz w:val="17"/>
    </w:rPr>
  </w:style>
  <w:style w:type="paragraph" w:customStyle="1" w:styleId="STARLABResponseLine">
    <w:name w:val="STARLAB Response Line"/>
    <w:pPr>
      <w:spacing w:before="0" w:after="60" w:line="240" w:lineRule="auto"/>
    </w:pPr>
    <w:rPr>
      <w:rFonts w:ascii="Arial" w:hAnsi="Arial" w:eastAsia="Arial"/>
      <w:b w:val="0"/>
      <w:color w:val="111111"/>
      <w:sz w:val="20"/>
    </w:rPr>
  </w:style>
  <w:style w:type="paragraph" w:customStyle="1" w:styleId="ListBullet">
    <w:name w:val="List Bullet"/>
    <w:pPr>
      <w:spacing w:before="0" w:after="40" w:line="240" w:lineRule="auto"/>
      <w:ind w:left="547" w:hanging="274"/>
    </w:pPr>
    <w:rPr>
      <w:rFonts w:ascii="Arial" w:hAnsi="Arial" w:eastAsia="Arial"/>
      <w:b w:val="0"/>
      <w:color w:val="111111"/>
      <w:sz w:val="18"/>
    </w:rPr>
  </w:style>
  <w:style w:type="paragraph" w:customStyle="1" w:styleId="ListNumber">
    <w:name w:val="List Number"/>
    <w:pPr>
      <w:spacing w:before="0" w:after="40" w:line="240" w:lineRule="auto"/>
      <w:ind w:left="547" w:hanging="274"/>
    </w:pPr>
    <w:rPr>
      <w:rFonts w:ascii="Arial" w:hAnsi="Arial" w:eastAsia="Arial"/>
      <w:b w:val="0"/>
      <w:color w:val="111111"/>
      <w:sz w:val="1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Differentiation and Implementation Notes | STARLAB Unit 1</dc:title>
  <cp:lastModifiedBy>python-docx</cp:lastModifiedBy>
  <cp:revision>1</cp:revision>
  <dcterms:modified xsi:type="dcterms:W3CDTF">2026-05-29T13:47:32Z</dcterms:modified>
  <dc:creator>STARLAB</dc:creator>
  <dc:subject>Appendix L for Unit 1</dc:subject>
  <cp:category>Appendix</cp:category>
  <cp:keywords>STARLAB, Unit 1, Appendix, appendix, implementation support, optional support, reference, support, teacher reference, unit 1</cp:keywords>
  <dc:description>Standardized STARLAB curriculum resource.</dc:description>
</cp:coreProperties>
</file>