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454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Risk Assessment Matrix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2 | Appendix E | Week 4 | Required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455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Use this matrix to think about risk. Projects with medium or high risk may require additional safety planning, supervision, or approval.</w:t>
      </w:r>
    </w:p>
    <w:tbl>
      <w:tblPr>
        <w:tblStyle w:val="Table14"/>
        <w:tblW w:w="9360" w:type="dxa"/>
        <w:jc w:val="left"/>
        <w:tblBorders>
          <w:top w:color="D9D9D9" w:space="0" w:sz="6" w:val="single"/>
          <w:left w:color="D9D9D9" w:space="0" w:sz="6" w:val="single"/>
          <w:bottom w:color="D9D9D9" w:space="0" w:sz="6" w:val="single"/>
          <w:right w:color="D9D9D9" w:space="0" w:sz="6" w:val="single"/>
          <w:insideH w:color="D9D9D9" w:space="0" w:sz="6" w:val="single"/>
          <w:insideV w:color="D9D9D9" w:space="0" w:sz="6" w:val="single"/>
        </w:tblBorders>
        <w:tblLayout w:type="fixed"/>
        <w:tblLook w:val="0600"/>
        <w:tblInd w:w="120" w:type="dxa"/>
      </w:tblPr>
      <w:tblGrid>
        <w:gridCol w:w="2578"/>
        <w:gridCol w:w="2496"/>
        <w:gridCol w:w="2496"/>
        <w:gridCol w:w="1790"/>
      </w:tblGrid>
      <w:tr>
        <w:trPr>
          <w:cantSplit w:val="0"/>
          <w:tblHeader w:val="true"/>
        </w:trPr>
        <w:tc>
          <w:tcPr>
            <w:tcW w:type="dxa" w:w="2578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E31B23" w:val="clear"/>
          </w:tcPr>
          <w:p w:rsidR="00000000" w:rsidDel="00000000" w:rsidP="00000000" w:rsidRDefault="00000000" w:rsidRPr="00000000" w14:paraId="00000456">
            <w:pPr>
              <w:spacing w:before="0" w:after="40" w:line="240" w:lineRule="auto"/>
              <w:jc w:val="center"/>
              <w:rPr/>
            </w:pPr>
            <w:r w:rsidDel="00000000" w:rsidR="00000000" w:rsidRPr="00000000">
              <w:rPr>
                <w:rFonts w:ascii="Arial" w:hAnsi="Arial" w:eastAsia="Arial" w:cs="Arial"/>
                <w:b w:val="1"/>
                <w:bCs w:val="1"/>
                <w:rtl w:val="0"/>
                <w:color w:val="FFFFFF"/>
                <w:sz w:val="16"/>
                <w:szCs w:val="16"/>
              </w:rPr>
              <w:t xml:space="preserve">Likelihood / Severity</w:t>
            </w:r>
            <w:r w:rsidDel="00000000" w:rsidR="00000000" w:rsidRPr="00000000">
              <w:rPr>
                <w:rFonts w:ascii="Arial" w:hAnsi="Arial" w:eastAsia="Arial" w:cs="Arial"/>
                <w:rtl w:val="0"/>
                <w:color w:val="FFFFFF"/>
                <w:sz w:val="16"/>
                <w:szCs w:val="16"/>
                <w:b w:val="1"/>
              </w:rPr>
            </w:r>
          </w:p>
        </w:tc>
        <w:tc>
          <w:tcPr>
            <w:tcW w:type="dxa" w:w="2496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E31B23" w:val="clear"/>
          </w:tcPr>
          <w:p w:rsidR="00000000" w:rsidDel="00000000" w:rsidP="00000000" w:rsidRDefault="00000000" w:rsidRPr="00000000" w14:paraId="00000457">
            <w:pPr>
              <w:spacing w:before="0" w:after="40" w:line="240" w:lineRule="auto"/>
              <w:jc w:val="center"/>
              <w:rPr/>
            </w:pPr>
            <w:r w:rsidDel="00000000" w:rsidR="00000000" w:rsidRPr="00000000">
              <w:rPr>
                <w:rFonts w:ascii="Arial" w:hAnsi="Arial" w:eastAsia="Arial" w:cs="Arial"/>
                <w:b w:val="1"/>
                <w:bCs w:val="1"/>
                <w:rtl w:val="0"/>
                <w:color w:val="FFFFFF"/>
                <w:sz w:val="16"/>
                <w:szCs w:val="16"/>
              </w:rPr>
              <w:t xml:space="preserve">Low Severity</w:t>
            </w:r>
            <w:r w:rsidDel="00000000" w:rsidR="00000000" w:rsidRPr="00000000">
              <w:rPr>
                <w:rFonts w:ascii="Arial" w:hAnsi="Arial" w:eastAsia="Arial" w:cs="Arial"/>
                <w:rtl w:val="0"/>
                <w:color w:val="FFFFFF"/>
                <w:sz w:val="16"/>
                <w:szCs w:val="16"/>
                <w:b w:val="1"/>
              </w:rPr>
            </w:r>
          </w:p>
        </w:tc>
        <w:tc>
          <w:tcPr>
            <w:tcW w:type="dxa" w:w="2496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E31B23" w:val="clear"/>
          </w:tcPr>
          <w:p w:rsidR="00000000" w:rsidDel="00000000" w:rsidP="00000000" w:rsidRDefault="00000000" w:rsidRPr="00000000" w14:paraId="00000458">
            <w:pPr>
              <w:spacing w:before="0" w:after="40" w:line="240" w:lineRule="auto"/>
              <w:jc w:val="center"/>
              <w:rPr/>
            </w:pPr>
            <w:r w:rsidDel="00000000" w:rsidR="00000000" w:rsidRPr="00000000">
              <w:rPr>
                <w:rFonts w:ascii="Arial" w:hAnsi="Arial" w:eastAsia="Arial" w:cs="Arial"/>
                <w:b w:val="1"/>
                <w:bCs w:val="1"/>
                <w:rtl w:val="0"/>
                <w:color w:val="FFFFFF"/>
                <w:sz w:val="16"/>
                <w:szCs w:val="16"/>
              </w:rPr>
              <w:t xml:space="preserve">Medium Severity</w:t>
            </w:r>
            <w:r w:rsidDel="00000000" w:rsidR="00000000" w:rsidRPr="00000000">
              <w:rPr>
                <w:rFonts w:ascii="Arial" w:hAnsi="Arial" w:eastAsia="Arial" w:cs="Arial"/>
                <w:rtl w:val="0"/>
                <w:color w:val="FFFFFF"/>
                <w:sz w:val="16"/>
                <w:szCs w:val="16"/>
                <w:b w:val="1"/>
              </w:rPr>
            </w:r>
          </w:p>
        </w:tc>
        <w:tc>
          <w:tcPr>
            <w:tcW w:type="dxa" w:w="179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E31B23" w:val="clear"/>
          </w:tcPr>
          <w:p w:rsidR="00000000" w:rsidDel="00000000" w:rsidP="00000000" w:rsidRDefault="00000000" w:rsidRPr="00000000" w14:paraId="00000459">
            <w:pPr>
              <w:spacing w:before="0" w:after="40" w:line="240" w:lineRule="auto"/>
              <w:jc w:val="center"/>
              <w:rPr/>
            </w:pPr>
            <w:r w:rsidDel="00000000" w:rsidR="00000000" w:rsidRPr="00000000">
              <w:rPr>
                <w:rFonts w:ascii="Arial" w:hAnsi="Arial" w:eastAsia="Arial" w:cs="Arial"/>
                <w:b w:val="1"/>
                <w:bCs w:val="1"/>
                <w:rtl w:val="0"/>
                <w:color w:val="FFFFFF"/>
                <w:sz w:val="16"/>
                <w:szCs w:val="16"/>
              </w:rPr>
              <w:t xml:space="preserve">High Severity</w:t>
            </w:r>
            <w:r w:rsidDel="00000000" w:rsidR="00000000" w:rsidRPr="00000000">
              <w:rPr>
                <w:rFonts w:ascii="Arial" w:hAnsi="Arial" w:eastAsia="Arial" w:cs="Arial"/>
                <w:rtl w:val="0"/>
                <w:color w:val="FFFFFF"/>
                <w:sz w:val="16"/>
                <w:szCs w:val="16"/>
                <w:b w:val="1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2578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45A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Low Likelihood</w:t>
            </w:r>
          </w:p>
        </w:tc>
        <w:tc>
          <w:tcPr>
            <w:tcW w:type="dxa" w:w="2496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45B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Low Risk</w:t>
            </w:r>
          </w:p>
        </w:tc>
        <w:tc>
          <w:tcPr>
            <w:tcW w:type="dxa" w:w="2496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45C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Low to Medium Risk</w:t>
            </w:r>
          </w:p>
        </w:tc>
        <w:tc>
          <w:tcPr>
            <w:tcW w:type="dxa" w:w="179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45D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Medium Risk</w:t>
            </w:r>
          </w:p>
        </w:tc>
      </w:tr>
      <w:tr>
        <w:trPr>
          <w:cantSplit w:val="0"/>
          <w:tblHeader w:val="0"/>
        </w:trPr>
        <w:tc>
          <w:tcPr>
            <w:tcW w:type="dxa" w:w="2578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45E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Medium Likelihood</w:t>
            </w:r>
          </w:p>
        </w:tc>
        <w:tc>
          <w:tcPr>
            <w:tcW w:type="dxa" w:w="2496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45F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Low to Medium Risk</w:t>
            </w:r>
          </w:p>
        </w:tc>
        <w:tc>
          <w:tcPr>
            <w:tcW w:type="dxa" w:w="2496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460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Medium Risk</w:t>
            </w:r>
          </w:p>
        </w:tc>
        <w:tc>
          <w:tcPr>
            <w:tcW w:type="dxa" w:w="179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461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High Risk</w:t>
            </w:r>
          </w:p>
        </w:tc>
      </w:tr>
      <w:tr>
        <w:trPr>
          <w:cantSplit w:val="0"/>
          <w:tblHeader w:val="0"/>
        </w:trPr>
        <w:tc>
          <w:tcPr>
            <w:tcW w:type="dxa" w:w="2578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462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High Likelihood</w:t>
            </w:r>
          </w:p>
        </w:tc>
        <w:tc>
          <w:tcPr>
            <w:tcW w:type="dxa" w:w="2496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463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Medium Risk</w:t>
            </w:r>
          </w:p>
        </w:tc>
        <w:tc>
          <w:tcPr>
            <w:tcW w:type="dxa" w:w="2496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464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High Risk</w:t>
            </w:r>
          </w:p>
        </w:tc>
        <w:tc>
          <w:tcPr>
            <w:tcW w:type="dxa" w:w="1790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465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High Risk</w:t>
            </w:r>
          </w:p>
        </w:tc>
      </w:tr>
    </w:tbl>
    <w:p w:rsidR="00000000" w:rsidDel="00000000" w:rsidP="00000000" w:rsidRDefault="00000000" w:rsidRPr="00000000" w14:paraId="0000046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by3ar3f91g6" w:id="166"/>
      <w:bookmarkEnd w:id="166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Severity</w:t>
      </w:r>
    </w:p>
    <w:p w:rsidR="00000000" w:rsidDel="00000000" w:rsidP="00000000" w:rsidRDefault="00000000" w:rsidRPr="00000000" w14:paraId="00000467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Low severity:</w:t>
      </w:r>
    </w:p>
    <w:p w:rsidR="00000000" w:rsidDel="00000000" w:rsidP="00000000" w:rsidRDefault="00000000" w:rsidRPr="00000000" w14:paraId="00000468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Minor inconvenience, minimal cleanup, no injury expected.</w:t>
      </w:r>
    </w:p>
    <w:p w:rsidR="00000000" w:rsidDel="00000000" w:rsidP="00000000" w:rsidRDefault="00000000" w:rsidRPr="00000000" w14:paraId="00000469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Medium severity:</w:t>
      </w:r>
    </w:p>
    <w:p w:rsidR="00000000" w:rsidDel="00000000" w:rsidP="00000000" w:rsidRDefault="00000000" w:rsidRPr="00000000" w14:paraId="0000046A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Possible minor injury, equipment damage, chemical irritation, environmental concern, or significant cleanup.</w:t>
      </w:r>
    </w:p>
    <w:p w:rsidR="00000000" w:rsidDel="00000000" w:rsidP="00000000" w:rsidRDefault="00000000" w:rsidRPr="00000000" w14:paraId="0000046B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High severity:</w:t>
      </w:r>
    </w:p>
    <w:p w:rsidR="00000000" w:rsidDel="00000000" w:rsidP="00000000" w:rsidRDefault="00000000" w:rsidRPr="00000000" w14:paraId="0000046C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Possible serious injury, fire, toxic exposure, biological hazard, privacy violation, animal harm, or major property damage.</w:t>
      </w:r>
    </w:p>
    <w:p w:rsidR="00000000" w:rsidDel="00000000" w:rsidP="00000000" w:rsidRDefault="00000000" w:rsidRPr="00000000" w14:paraId="0000046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myn48sf4ukl" w:id="167"/>
      <w:bookmarkEnd w:id="167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Likelihood</w:t>
      </w:r>
    </w:p>
    <w:p w:rsidR="00000000" w:rsidDel="00000000" w:rsidP="00000000" w:rsidRDefault="00000000" w:rsidRPr="00000000" w14:paraId="0000046E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Low likelihood:</w:t>
      </w:r>
    </w:p>
    <w:p w:rsidR="00000000" w:rsidDel="00000000" w:rsidP="00000000" w:rsidRDefault="00000000" w:rsidRPr="00000000" w14:paraId="0000046F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Unlikely if normal precautions are followed.</w:t>
      </w:r>
    </w:p>
    <w:p w:rsidR="00000000" w:rsidDel="00000000" w:rsidP="00000000" w:rsidRDefault="00000000" w:rsidRPr="00000000" w14:paraId="00000470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Medium likelihood:</w:t>
      </w:r>
    </w:p>
    <w:p w:rsidR="00000000" w:rsidDel="00000000" w:rsidP="00000000" w:rsidRDefault="00000000" w:rsidRPr="00000000" w14:paraId="00000471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Could happen during normal use or if a step is missed.</w:t>
      </w:r>
    </w:p>
    <w:p w:rsidR="00000000" w:rsidDel="00000000" w:rsidP="00000000" w:rsidRDefault="00000000" w:rsidRPr="00000000" w14:paraId="00000472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High likelihood:</w:t>
      </w:r>
    </w:p>
    <w:p w:rsidR="00000000" w:rsidDel="00000000" w:rsidP="00000000" w:rsidRDefault="00000000" w:rsidRPr="00000000" w14:paraId="00000473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Likely to happen without major redesign or strict controls.</w:t>
      </w:r>
    </w:p>
    <w:p w:rsidR="00000000" w:rsidDel="00000000" w:rsidP="00000000" w:rsidRDefault="00000000" w:rsidRPr="00000000" w14:paraId="0000047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qcanerdu634" w:id="168"/>
      <w:bookmarkEnd w:id="168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Risk Reduction Strategies</w:t>
      </w:r>
    </w:p>
    <w:p w:rsidR="00000000" w:rsidDel="00000000" w:rsidP="00000000" w:rsidRDefault="00000000" w:rsidRPr="00000000" w14:paraId="00000475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Substitute safer materials</w:t>
      </w:r>
    </w:p>
    <w:p w:rsidR="00000000" w:rsidDel="00000000" w:rsidP="00000000" w:rsidRDefault="00000000" w:rsidRPr="00000000" w14:paraId="00000476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Reduce quantities</w:t>
      </w:r>
    </w:p>
    <w:p w:rsidR="00000000" w:rsidDel="00000000" w:rsidP="00000000" w:rsidRDefault="00000000" w:rsidRPr="00000000" w14:paraId="00000477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Use lower voltage, lower heat, or lower pressure</w:t>
      </w:r>
    </w:p>
    <w:p w:rsidR="00000000" w:rsidDel="00000000" w:rsidP="00000000" w:rsidRDefault="00000000" w:rsidRPr="00000000" w14:paraId="00000478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Add shielding or guards</w:t>
      </w:r>
    </w:p>
    <w:p w:rsidR="00000000" w:rsidDel="00000000" w:rsidP="00000000" w:rsidRDefault="00000000" w:rsidRPr="00000000" w14:paraId="00000479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Use PPE</w:t>
      </w:r>
    </w:p>
    <w:p w:rsidR="00000000" w:rsidDel="00000000" w:rsidP="00000000" w:rsidRDefault="00000000" w:rsidRPr="00000000" w14:paraId="0000047A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Require supervision</w:t>
      </w:r>
    </w:p>
    <w:p w:rsidR="00000000" w:rsidDel="00000000" w:rsidP="00000000" w:rsidRDefault="00000000" w:rsidRPr="00000000" w14:paraId="0000047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Improve ventilation</w:t>
      </w:r>
    </w:p>
    <w:p w:rsidR="00000000" w:rsidDel="00000000" w:rsidP="00000000" w:rsidRDefault="00000000" w:rsidRPr="00000000" w14:paraId="0000047C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Use simulations or public datasets instead of hazardous testing</w:t>
      </w:r>
    </w:p>
    <w:p w:rsidR="00000000" w:rsidDel="00000000" w:rsidP="00000000" w:rsidRDefault="00000000" w:rsidRPr="00000000" w14:paraId="0000047D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Change the procedure</w:t>
      </w:r>
    </w:p>
    <w:p w:rsidR="00000000" w:rsidDel="00000000" w:rsidP="00000000" w:rsidRDefault="00000000" w:rsidRPr="00000000" w14:paraId="0000047E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Move testing to an approved lab or mentor site</w:t>
      </w:r>
    </w:p>
    <w:sectPr>
      <w:headerReference w:type="default" r:id="rId9"/>
      <w:footerReference w:type="default" r:id="rId10"/>
      <w:pgSz w:w="12240" w:h="15840"/>
      <w:pgMar w:top="792" w:bottom="792" w:left="1080" w:right="1080" w:header="504" w:footer="50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2 | APPENDIX E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6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8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79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8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81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num w:numId="1">
    <w:abstractNumId w:val="73"/>
  </w:num>
  <w:num w:numId="2">
    <w:abstractNumId w:val="74"/>
  </w:num>
  <w:num w:numId="3">
    <w:abstractNumId w:val="75"/>
  </w:num>
  <w:num w:numId="4">
    <w:abstractNumId w:val="76"/>
  </w:num>
  <w:num w:numId="5">
    <w:abstractNumId w:val="77"/>
  </w:num>
  <w:num w:numId="6">
    <w:abstractNumId w:val="78"/>
  </w:num>
  <w:num w:numId="7">
    <w:abstractNumId w:val="79"/>
  </w:num>
  <w:num w:numId="8">
    <w:abstractNumId w:val="80"/>
  </w:num>
  <w:num w:numId="9">
    <w:abstractNumId w:val="81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20" w:line="240" w:lineRule="auto"/>
    </w:pPr>
    <w:rPr>
      <w:rFonts w:ascii="Arial" w:hAnsi="Arial" w:eastAsia="Arial"/>
      <w:b w:val="0"/>
      <w:color w:val="111111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20" w:line="240" w:lineRule="auto"/>
      <w:ind w:left="547" w:hanging="274"/>
      <w:contextualSpacing/>
    </w:pPr>
    <w:rPr>
      <w:rFonts w:ascii="Arial" w:hAnsi="Arial" w:eastAsia="Arial"/>
      <w:b w:val="0"/>
      <w:color w:val="111111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20" w:line="240" w:lineRule="auto"/>
      <w:ind w:left="547" w:hanging="274"/>
      <w:contextualSpacing/>
    </w:pPr>
    <w:rPr>
      <w:rFonts w:ascii="Arial" w:hAnsi="Arial" w:eastAsia="Arial"/>
      <w:b w:val="0"/>
      <w:color w:val="111111"/>
      <w:sz w:val="17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Risk Assessment Matrix | STARLAB Unit 2</dc:title>
  <dc:subject>Appendix E for Unit 2</dc:subject>
  <dc:creator>STARLAB</dc:creator>
  <cp:keywords>STARLAB, Unit 2, Appendix, appendix, assessment, ethics, red flags, reference, risk, safety, screening, support, unit 2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Appendix</cp:category>
</cp:coreProperties>
</file>