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 w:rsidR="00000000" w:rsidDel="00000000" w:rsidP="00000000" w:rsidRDefault="00000000" w:rsidRPr="00000000" w14:paraId="00000480">
      <w:pPr>
        <w:pStyle w:val="STARLABResourceTitle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Safety and Ethics Red Flags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2 | Appendix F | Week 4 | Required</w:t>
      </w:r>
    </w:p>
    <w:p>
      <w:pPr>
        <w:pStyle w:val="STARLABDivider"/>
        <w:pBdr>
          <w:bottom w:val="single" w:sz="12" w:space="1" w:color="E31B23"/>
        </w:pBdr>
      </w:pPr>
    </w:p>
    <w:p>
      <w:pPr/>
      <w:r>
        <w:rPr>
          <w:rFonts w:ascii="Arial" w:hAnsi="Arial" w:eastAsia="Arial" w:cs="Arial"/>
          <w:color w:val="111111"/>
          <w:sz w:val="17"/>
          <w:szCs w:val="17"/>
        </w:rPr>
        <w:t>The following project features require careful review before approval.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Category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Red flags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Category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Red flags</w:t>
            </w:r>
          </w:p>
        </w:tc>
      </w:tr>
      <w:tr>
        <w:trPr/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Human Participants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Surveys; interviews; behavior observations; reaction time tests; exercise or performance tests; medical or psychological claims; private information; student grades, health data, or personal identifiers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Animals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Vertebrate animals; animal behavior experiments; pet testing; habitat disturbance; animal products requiring special handling</w:t>
            </w:r>
          </w:p>
        </w:tc>
      </w:tr>
      <w:tr>
        <w:trPr/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Biological Materials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Bacterial culturing; mold growth; soil or water microorganisms; bodily fluids; unknown environmental samples; food spoilage experiments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Chemicals and Materials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Strong acids or bases; flammable materials; toxic substances; solvents; compressed gases; unknown chemical mixtures; nanomaterials or fine powders</w:t>
            </w:r>
          </w:p>
        </w:tc>
      </w:tr>
      <w:tr>
        <w:trPr/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Physical Hazards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High voltage; heat or flame; lasers; pressure vessels; sharp blades; power tools; fast-moving parts; heavy loads or structural collapse; drones or projectiles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Ethical or Legal Concerns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Testing products on people without approval; collecting private data; recording people without consent; medical advice or treatment claims; environmental release of materials; plagiarism or uncredited use of code, images, or data</w:t>
            </w:r>
          </w:p>
        </w:tc>
      </w:tr>
    </w:tbl>
    <w:p>
      <w:pPr/>
      <w:r>
        <w:rPr>
          <w:rFonts w:ascii="Arial" w:hAnsi="Arial" w:eastAsia="Arial" w:cs="Arial"/>
          <w:color w:val="111111"/>
          <w:sz w:val="17"/>
          <w:szCs w:val="17"/>
        </w:rPr>
        <w:t>A red flag does not automatically reject a project. It requires teacher review, documented safeguards, the Project Approval Tracker, and any applicable district forms before testing begins.</w:t>
      </w:r>
    </w:p>
    <w:sectPr>
      <w:headerReference w:type="default" r:id="rId9"/>
      <w:footerReference w:type="default" r:id="rId10"/>
      <w:pgSz w:w="12240" w:h="15840"/>
      <w:pgMar w:top="792" w:bottom="792" w:left="1080" w:right="1080" w:header="504" w:footer="50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2 | APPENDIX F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4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6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8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9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8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8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num w:numId="1">
    <w:abstractNumId w:val="73"/>
  </w:num>
  <w:num w:numId="2">
    <w:abstractNumId w:val="74"/>
  </w:num>
  <w:num w:numId="3">
    <w:abstractNumId w:val="75"/>
  </w:num>
  <w:num w:numId="4">
    <w:abstractNumId w:val="76"/>
  </w:num>
  <w:num w:numId="5">
    <w:abstractNumId w:val="77"/>
  </w:num>
  <w:num w:numId="6">
    <w:abstractNumId w:val="78"/>
  </w:num>
  <w:num w:numId="7">
    <w:abstractNumId w:val="79"/>
  </w:num>
  <w:num w:numId="8">
    <w:abstractNumId w:val="80"/>
  </w:num>
  <w:num w:numId="9">
    <w:abstractNumId w:val="81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20" w:line="240" w:lineRule="auto"/>
    </w:pPr>
    <w:rPr>
      <w:rFonts w:ascii="Arial" w:hAnsi="Arial" w:eastAsia="Arial"/>
      <w:b w:val="0"/>
      <w:color w:val="111111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0" w:line="240" w:lineRule="auto"/>
      <w:ind w:left="547" w:hanging="274"/>
      <w:contextualSpacing/>
    </w:pPr>
    <w:rPr>
      <w:rFonts w:ascii="Arial" w:hAnsi="Arial" w:eastAsia="Arial"/>
      <w:b w:val="0"/>
      <w:color w:val="111111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20" w:line="240" w:lineRule="auto"/>
      <w:ind w:left="547" w:hanging="274"/>
      <w:contextualSpacing/>
    </w:pPr>
    <w:rPr>
      <w:rFonts w:ascii="Arial" w:hAnsi="Arial" w:eastAsia="Arial"/>
      <w:b w:val="0"/>
      <w:color w:val="111111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Safety and Ethics Red Flags | STARLAB Unit 2</dc:title>
  <dc:subject>Appendix F for Unit 2</dc:subject>
  <dc:creator>STARLAB</dc:creator>
  <cp:keywords>STARLAB, Unit 2, Appendix, appendix, ethics, red flags, reference, risk, safety, screening, support, unit 2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Appendix</cp:category>
</cp:coreProperties>
</file>