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59C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Data Table Design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G | Week 7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59D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A useful data table should be created before full testing.</w:t>
      </w:r>
    </w:p>
    <w:p w:rsidR="00000000" w:rsidDel="00000000" w:rsidP="00000000" w:rsidRDefault="00000000" w:rsidRPr="00000000" w14:paraId="0000059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cq1hs381c30" w:id="306"/>
      <w:bookmarkEnd w:id="30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Basic Columns</w:t>
      </w:r>
    </w:p>
    <w:p w:rsidR="00000000" w:rsidDel="00000000" w:rsidP="00000000" w:rsidRDefault="00000000" w:rsidRPr="00000000" w14:paraId="0000059F">
      <w:pPr>
        <w:numPr>
          <w:ilvl w:val="0"/>
          <w:numId w:val="1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Trial or sample number</w:t>
      </w:r>
    </w:p>
    <w:p w:rsidR="00000000" w:rsidDel="00000000" w:rsidP="00000000" w:rsidRDefault="00000000" w:rsidRPr="00000000" w14:paraId="000005A0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Date</w:t>
      </w:r>
    </w:p>
    <w:p w:rsidR="00000000" w:rsidDel="00000000" w:rsidP="00000000" w:rsidRDefault="00000000" w:rsidRPr="00000000" w14:paraId="000005A1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Condition or group</w:t>
      </w:r>
    </w:p>
    <w:p w:rsidR="00000000" w:rsidDel="00000000" w:rsidP="00000000" w:rsidRDefault="00000000" w:rsidRPr="00000000" w14:paraId="000005A2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Independent variable value</w:t>
      </w:r>
    </w:p>
    <w:p w:rsidR="00000000" w:rsidDel="00000000" w:rsidP="00000000" w:rsidRDefault="00000000" w:rsidRPr="00000000" w14:paraId="000005A3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Measurement value</w:t>
      </w:r>
    </w:p>
    <w:p w:rsidR="00000000" w:rsidDel="00000000" w:rsidP="00000000" w:rsidRDefault="00000000" w:rsidRPr="00000000" w14:paraId="000005A4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Units</w:t>
      </w:r>
    </w:p>
    <w:p w:rsidR="00000000" w:rsidDel="00000000" w:rsidP="00000000" w:rsidRDefault="00000000" w:rsidRPr="00000000" w14:paraId="000005A5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Observations</w:t>
      </w:r>
    </w:p>
    <w:p w:rsidR="00000000" w:rsidDel="00000000" w:rsidP="00000000" w:rsidRDefault="00000000" w:rsidRPr="00000000" w14:paraId="000005A6">
      <w:pPr>
        <w:numPr>
          <w:ilvl w:val="0"/>
          <w:numId w:val="12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Notes about problems</w:t>
      </w:r>
    </w:p>
    <w:p w:rsidR="00000000" w:rsidDel="00000000" w:rsidP="00000000" w:rsidRDefault="00000000" w:rsidRPr="00000000" w14:paraId="000005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c7291dd5as9" w:id="307"/>
      <w:bookmarkEnd w:id="30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Engineering Testing Columns</w:t>
      </w:r>
    </w:p>
    <w:p w:rsidR="00000000" w:rsidDel="00000000" w:rsidP="00000000" w:rsidRDefault="00000000" w:rsidRPr="00000000" w14:paraId="000005A8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Prototype version</w:t>
      </w:r>
    </w:p>
    <w:p w:rsidR="00000000" w:rsidDel="00000000" w:rsidP="00000000" w:rsidRDefault="00000000" w:rsidRPr="00000000" w14:paraId="000005A9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Test condition</w:t>
      </w:r>
    </w:p>
    <w:p w:rsidR="00000000" w:rsidDel="00000000" w:rsidP="00000000" w:rsidRDefault="00000000" w:rsidRPr="00000000" w14:paraId="000005AA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Performance measurement</w:t>
      </w:r>
    </w:p>
    <w:p w:rsidR="00000000" w:rsidDel="00000000" w:rsidP="00000000" w:rsidRDefault="00000000" w:rsidRPr="00000000" w14:paraId="000005AB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Failure point</w:t>
      </w:r>
    </w:p>
    <w:p w:rsidR="00000000" w:rsidDel="00000000" w:rsidP="00000000" w:rsidRDefault="00000000" w:rsidRPr="00000000" w14:paraId="000005AC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Mass or cost, if relevant</w:t>
      </w:r>
    </w:p>
    <w:p w:rsidR="00000000" w:rsidDel="00000000" w:rsidP="00000000" w:rsidRDefault="00000000" w:rsidRPr="00000000" w14:paraId="000005AD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Success criteria met? Yes or no</w:t>
      </w:r>
    </w:p>
    <w:p w:rsidR="00000000" w:rsidDel="00000000" w:rsidP="00000000" w:rsidRDefault="00000000" w:rsidRPr="00000000" w14:paraId="000005AE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Redesign notes</w:t>
      </w:r>
    </w:p>
    <w:p w:rsidR="00000000" w:rsidDel="00000000" w:rsidP="00000000" w:rsidRDefault="00000000" w:rsidRPr="00000000" w14:paraId="000005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vh2gp5c8w05" w:id="308"/>
      <w:bookmarkEnd w:id="30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Computational or Data Analysis Columns</w:t>
      </w:r>
    </w:p>
    <w:p w:rsidR="00000000" w:rsidDel="00000000" w:rsidP="00000000" w:rsidRDefault="00000000" w:rsidRPr="00000000" w14:paraId="000005B0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Data source</w:t>
      </w:r>
    </w:p>
    <w:p w:rsidR="00000000" w:rsidDel="00000000" w:rsidP="00000000" w:rsidRDefault="00000000" w:rsidRPr="00000000" w14:paraId="000005B1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Variable name</w:t>
      </w:r>
    </w:p>
    <w:p w:rsidR="00000000" w:rsidDel="00000000" w:rsidP="00000000" w:rsidRDefault="00000000" w:rsidRPr="00000000" w14:paraId="000005B2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Inclusion or filtering criteria</w:t>
      </w:r>
    </w:p>
    <w:p w:rsidR="00000000" w:rsidDel="00000000" w:rsidP="00000000" w:rsidRDefault="00000000" w:rsidRPr="00000000" w14:paraId="000005B3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Calculated value</w:t>
      </w:r>
    </w:p>
    <w:p w:rsidR="00000000" w:rsidDel="00000000" w:rsidP="00000000" w:rsidRDefault="00000000" w:rsidRPr="00000000" w14:paraId="000005B4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Model output</w:t>
      </w:r>
    </w:p>
    <w:p w:rsidR="00000000" w:rsidDel="00000000" w:rsidP="00000000" w:rsidRDefault="00000000" w:rsidRPr="00000000" w14:paraId="000005B5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Error or accuracy measure</w:t>
      </w:r>
    </w:p>
    <w:p w:rsidR="00000000" w:rsidDel="00000000" w:rsidP="00000000" w:rsidRDefault="00000000" w:rsidRPr="00000000" w14:paraId="000005B6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7"/>
          <w:szCs w:val="17"/>
        </w:rPr>
        <w:t xml:space="preserve">Notes</w:t>
      </w:r>
    </w:p>
    <w:p>
      <w:pPr>
        <w:pStyle w:val="Heading1"/>
      </w:pPr>
      <w:r>
        <w:rPr>
          <w:rFonts w:ascii="Arial" w:hAnsi="Arial" w:eastAsia="Arial" w:cs="Arial"/>
          <w:color w:val="E31B23"/>
          <w:sz w:val="27"/>
          <w:szCs w:val="27"/>
          <w:b w:val="1"/>
        </w:rPr>
        <w:t>Build a Traceable Data Table</w:t>
      </w:r>
    </w:p>
    <w:p>
      <w:pPr/>
      <w:r>
        <w:rPr>
          <w:rFonts w:ascii="Arial" w:hAnsi="Arial" w:eastAsia="Arial" w:cs="Arial"/>
          <w:color w:val="111111"/>
          <w:sz w:val="17"/>
          <w:szCs w:val="17"/>
        </w:rPr>
        <w:t>A usable table lets another person identify the trial, conditions, measurement, unit, and any flagged concern without guessing.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Column or feature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What to record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Example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Trial or sample 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Use one unique label for every trial, sample, or observation.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T01, Sample B3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Date and time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Record when the evidence was produced or collected.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2026-09-14, 10:25 AM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Condition or input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Name the group, treatment, setting, or design version precisely.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5.0 V; Version 2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Measured outcome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Use one clearly named column per measurement and include the unit in the header.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Response time (s)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Context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Record conditions that could affect interpretation.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22 C; Sensor A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Flag or note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Flag unusual evidence without deleting or silently changing it.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Sensor reset after T04</w:t>
            </w:r>
          </w:p>
        </w:tc>
      </w:tr>
    </w:tbl>
    <w:sectPr>
      <w:headerReference w:type="default" r:id="rId6"/>
      <w:footerReference w:type="default" r:id="rId7"/>
      <w:pgSz w:h="15840" w:w="12240"/>
      <w:pgMar w:bottom="792" w:top="792" w:left="1080" w:right="108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G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20" w:line="240" w:lineRule="auto"/>
    </w:pPr>
    <w:rPr>
      <w:rFonts w:ascii="Arial" w:hAnsi="Arial" w:eastAsia="Arial"/>
      <w:b w:val="0"/>
      <w:color w:val="111111"/>
      <w:sz w:val="17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20" w:line="240" w:lineRule="auto"/>
      <w:ind w:left="547" w:hanging="274"/>
    </w:pPr>
    <w:rPr>
      <w:rFonts w:ascii="Arial" w:hAnsi="Arial" w:eastAsia="Arial"/>
      <w:b w:val="0"/>
      <w:color w:val="111111"/>
      <w:sz w:val="17"/>
    </w:rPr>
  </w:style>
  <w:style w:type="paragraph" w:customStyle="1" w:styleId="ListNumber">
    <w:name w:val="List Number"/>
    <w:pPr>
      <w:spacing w:before="0" w:after="20" w:line="240" w:lineRule="auto"/>
      <w:ind w:left="547" w:hanging="274"/>
    </w:pPr>
    <w:rPr>
      <w:rFonts w:ascii="Arial" w:hAnsi="Arial" w:eastAsia="Arial"/>
      <w:b w:val="0"/>
      <w:color w:val="111111"/>
      <w:sz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Data Table Design Guide | STARLAB Unit 3</dc:title>
  <cp:lastModifiedBy>python-docx</cp:lastModifiedBy>
  <cp:revision>1</cp:revision>
  <dcterms:modified xsi:type="dcterms:W3CDTF">2026-07-17T01:55:42Z</dcterms:modified>
  <dc:subject>Appendix G for Unit 3</dc:subject>
  <dc:creator>STARLAB</dc:creator>
  <cp:category>Appendix</cp:category>
  <cp:keywords>STARLAB, Unit 3, Appendix, analysis, appendix, data, graphing, interpretation, reference, statistics, support, unit 3</cp:keywords>
  <dc:description>Standardized STARLAB curriculum resource.</dc:description>
</cp:coreProperties>
</file>