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Misleading Graphs and Visual Ethics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Appendix K | Week 19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8"/>
          <w:szCs w:val="18"/>
        </w:rPr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Graphs can mislead even when the numbers are real.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Common Misleading Practices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Cutting off the y-axis to exaggerate differences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Using unequal intervals on an axis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Choosing a graph type that hides variability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Removing data without explanation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Using colors or design to imply unsupported conclusions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Making a graph too small to read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Showing only the best trial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Hiding failed prototypes or inconvenient results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Ethical Visualization Rule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graph should help the audience understand the evidence honestly.</w:t>
      </w:r>
    </w:p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Visual Ethics Repair Guide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visual should make the evidence easier to inspect, not make an effect look larger, smaller, cleaner, or more certain than it is.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Risk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Why it misleads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Responsible revision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Truncated axis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Can exaggerate small differences.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Start at zero when appropriate or clearly mark and justify the scale.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Unequal intervals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Makes distances on the axis represent different amounts.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Use equal numeric intervals or a clearly labeled transformed scale.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Missing units or labels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Prevents the reader from knowing what was measured.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Label axes, groups, units, sample size, and conditions.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Selective data display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Hides trials, groups, or time periods that complicate the claim.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Show the complete relevant data set or disclose and justify exclusions.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Decorative 3D effects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Distorts apparent bar, area, or volume differences.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Use a clean two-dimensional chart.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Uncertainty omitted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Makes estimates appear more precise than the evidence supports.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Add error bars, ranges, sample size, or a limitation note when appropriate.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APPENDIX K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Misleading Graphs and Visual Ethics | STARLAB Unit 4</dc:title>
  <dc:subject>Appendix K for Unit 4</dc:subject>
  <dc:creator>STARLAB</dc:creator>
  <cp:keywords>STARLAB, Unit 4, Appendix, analysis, appendix, data, ethics, graphing, interpretation, red flags, reference, risk, safety, screening, statistics, support,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