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left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Data Analysis and Interpretation Rubric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4 | Appendix N | Week 20 | Required</w:t>
      </w:r>
    </w:p>
    <w:p>
      <w:pPr>
        <w:pStyle w:val="STARLABDivider"/>
        <w:pBdr>
          <w:bottom w:val="single" w:sz="12" w:space="1" w:color="E31B23"/>
        </w:pBdr>
      </w:pPr>
    </w:p>
    <w:p>
      <w:pPr/>
      <w:r>
        <w:rPr>
          <w:rFonts w:ascii="Arial" w:hAnsi="Arial" w:eastAsia="Arial" w:cs="Arial"/>
          <w:b w:val="0"/>
          <w:i w:val="0"/>
          <w:color w:val="111111"/>
          <w:sz w:val="18"/>
          <w:szCs w:val="18"/>
        </w:rPr>
        <w:t>STARLAB Unit 4 | Authoritative course scoring tool</w:t>
      </w:r>
    </w:p>
    <w:p>
      <w:pPr>
        <w:spacing w:after="140"/>
        <w:ind w:left="144" w:right="144"/>
        <w:shd w:fill="F2F2F2"/>
      </w:pPr>
      <w:r>
        <w:rPr>
          <w:rFonts w:ascii="Arial" w:hAnsi="Arial" w:eastAsia="Arial" w:cs="Arial"/>
          <w:b w:val="0"/>
          <w:i w:val="0"/>
          <w:color w:val="111111"/>
          <w:sz w:val="18"/>
          <w:szCs w:val="18"/>
        </w:rPr>
        <w:t>Authoritative use: Score the complete Data Analysis and Interpretation category evidence, including preserved raw data and the data-collection system from Unit 3 as well as cleaning, analysis, visuals, uncertainty, limitations, and interpretation from Unit 4.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Category</w:t>
            </w:r>
          </w:p>
        </w:tc>
        <w:tc>
          <w:tcPr>
            <w:tcW w:type="dxa" w:w="1872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Exceeds Expectations</w:t>
            </w:r>
          </w:p>
        </w:tc>
        <w:tc>
          <w:tcPr>
            <w:tcW w:type="dxa" w:w="1872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Meets Expectations</w:t>
            </w:r>
          </w:p>
        </w:tc>
        <w:tc>
          <w:tcPr>
            <w:tcW w:type="dxa" w:w="1872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Approaching Expectations</w:t>
            </w:r>
          </w:p>
        </w:tc>
        <w:tc>
          <w:tcPr>
            <w:tcW w:type="dxa" w:w="1872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Needs Revision</w:t>
            </w:r>
          </w:p>
        </w:tc>
      </w:tr>
      <w:tr>
        <w:trPr/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after="40" w:before="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  <w:r>
              <w:rPr>
                <w:rFonts w:ascii="Arial" w:hAnsi="Arial" w:eastAsia="Arial" w:cs="Arial"/>
                <w:b w:val="0"/>
                <w:i w:val="0"/>
                <w:color w:val="111111"/>
                <w:sz w:val="18"/>
                <w:szCs w:val="18"/>
              </w:rPr>
              <w:t>Data Integrity and Organization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after="40" w:before="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  <w:r>
              <w:rPr>
                <w:rFonts w:ascii="Arial" w:hAnsi="Arial" w:eastAsia="Arial" w:cs="Arial"/>
                <w:b w:val="0"/>
                <w:i w:val="0"/>
                <w:color w:val="111111"/>
                <w:sz w:val="18"/>
                <w:szCs w:val="18"/>
              </w:rPr>
              <w:t>Raw and clean data are preserved, traceable, clearly organized, labeled, and ready for analysis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after="40" w:before="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  <w:r>
              <w:rPr>
                <w:rFonts w:ascii="Arial" w:hAnsi="Arial" w:eastAsia="Arial" w:cs="Arial"/>
                <w:b w:val="0"/>
                <w:i w:val="0"/>
                <w:color w:val="111111"/>
                <w:sz w:val="18"/>
                <w:szCs w:val="18"/>
              </w:rPr>
              <w:t>Raw and clean data are preserved, organized, and mostly complete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after="40" w:before="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  <w:r>
              <w:rPr>
                <w:rFonts w:ascii="Arial" w:hAnsi="Arial" w:eastAsia="Arial" w:cs="Arial"/>
                <w:b w:val="0"/>
                <w:i w:val="0"/>
                <w:color w:val="111111"/>
                <w:sz w:val="18"/>
                <w:szCs w:val="18"/>
              </w:rPr>
              <w:t>Raw or clean data need additional organization, labels, or traceability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after="40" w:before="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  <w:r>
              <w:rPr>
                <w:rFonts w:ascii="Arial" w:hAnsi="Arial" w:eastAsia="Arial" w:cs="Arial"/>
                <w:b w:val="0"/>
                <w:i w:val="0"/>
                <w:color w:val="111111"/>
                <w:sz w:val="18"/>
                <w:szCs w:val="18"/>
              </w:rPr>
              <w:t>Raw data are missing or altered, or the data are confusing or not usable</w:t>
            </w:r>
          </w:p>
        </w:tc>
      </w:tr>
      <w:tr>
        <w:trPr/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Analysis Method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Method is appropriate, justified, and clearly connected to the question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Method fits the project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Method is basic or partly mismatched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Method is missing or inappropriate</w:t>
            </w:r>
          </w:p>
        </w:tc>
      </w:tr>
      <w:tr>
        <w:trPr/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Calculations/Statistics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Accurate, clearly documented, and interpreted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Mostly accurate and documented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Some errors or limited explanation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Major errors or missing calculations</w:t>
            </w:r>
          </w:p>
        </w:tc>
      </w:tr>
      <w:tr>
        <w:trPr/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Visuals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Graphs/tables/visuals are accurate, clear, and useful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Visuals are appropriate and understandable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Visuals need clarity or corrections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Visuals are missing or misleading</w:t>
            </w:r>
          </w:p>
        </w:tc>
      </w:tr>
      <w:tr>
        <w:trPr/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Error and Limitations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Thoughtful discussion of uncertainty and limitations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Identifies relevant limitations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Limitations are vague or incomplete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Limitations are ignored</w:t>
            </w:r>
          </w:p>
        </w:tc>
      </w:tr>
      <w:tr>
        <w:trPr/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Interpretation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Claims are evidence-based and appropriately cautious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Claims are supported by evidence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Claims are partially supported or overstated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Claims are unsupported or inaccurate</w:t>
            </w:r>
          </w:p>
        </w:tc>
      </w:tr>
      <w:tr>
        <w:trPr/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Readiness for Reporting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Analysis materials are ready for Unit 5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Mostly ready with minor revisions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Needs additional work before reporting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Not ready for reporting</w:t>
            </w:r>
          </w:p>
        </w:tc>
      </w:tr>
    </w:tbl>
    <w:p>
      <w:pPr>
        <w:pStyle w:val="Heading1"/>
      </w:pPr>
      <w:r>
        <w:rPr>
          <w:rFonts w:ascii="Arial" w:hAnsi="Arial" w:eastAsia="Arial" w:cs="Arial"/>
          <w:color w:val="E31B23"/>
          <w:sz w:val="27"/>
          <w:szCs w:val="27"/>
          <w:b w:val="1"/>
        </w:rPr>
        <w:t>Scoring Record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Score each criterion from 4 to 1 using the performance descriptions. Cite observable evidence in feedback and identify the highest-priority next step.</w:t>
      </w:r>
    </w:p>
    <w:tbl>
      <w:tblPr>
        <w:tblW w:type="dxa" w:w="9360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Student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Project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Date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Teacher</w:t>
            </w:r>
          </w:p>
        </w:tc>
      </w:tr>
      <w:tr>
        <w:trPr/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</w:tbl>
    <w:p>
      <w:pPr/>
      <w:r>
        <w:rPr>
          <w:rFonts w:ascii="Arial" w:hAnsi="Arial" w:eastAsia="Arial" w:cs="Arial"/>
          <w:color w:val="111111"/>
          <w:sz w:val="18"/>
          <w:szCs w:val="18"/>
        </w:rPr>
        <w:t>Score: ______ / 28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Gradebook placement: Data Analysis and Interpretation. The official course-category weight remains 20%; local assignment points or conversions may vary.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Evidence-based feedback and required next step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sectPr w:rsidR="00FC693F" w:rsidRPr="0006063C" w:rsidSect="00034616">
      <w:footerReference w:type="default" r:id="rId9"/>
      <w:head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4 | APPENDIX N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Analysis and Interpretation Rubric | STARLAB Unit 4</dc:title>
  <dc:subject>Appendix N for Unit 4</dc:subject>
  <dc:creator>STARLAB</dc:creator>
  <cp:keywords>STARLAB, Unit 4, Rubric, analysis, assessment, criteria, data, feedback, grading, graphing, interpretation, rubric, statistics, unit 4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Rubric</cp:category>
</cp:coreProperties>
</file>