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Graphing Standards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5 | Appendix F | Week 24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</w:p>
    <w:p>
      <w:pPr>
        <w:pStyle w:val="Heading3"/>
      </w:pPr>
      <w:r>
        <w:rPr>
          <w:rFonts w:ascii="Arial" w:hAnsi="Arial" w:eastAsia="Arial" w:cs="Arial"/>
          <w:color w:val="555555"/>
          <w:sz w:val="20"/>
          <w:szCs w:val="20"/>
          <w:b w:val="1"/>
        </w:rPr>
        <w:t>All graphs should meet the following standards: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The graph type matches the data.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The title clearly describes what is shown.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The x-axis and y-axis are labeled.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Units are included where appropriate.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The scale is appropriate and not misleading.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Data points or bars are easy to read.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A legend is included when multiple groups are shown.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Error bars are included when appropriate and available.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The graph avoids unnecessary decoration.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The graph is readable in the final presentation format.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Common Graph Problems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Missing units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Title too vague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Inappropriate graph type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Too many colors or effects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Axis scale exaggerates the result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Legend is missing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Graph is too small to read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Data table is pasted instead of summarized visually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5 | APPENDIX F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Graphing Standards | STARLAB Unit 5</dc:title>
  <dc:subject>Appendix F for Unit 5</dc:subject>
  <dc:creator>STARLAB</dc:creator>
  <cp:keywords>STARLAB, Unit 5, Appendix, analysis, appendix, data, graphing, interpretation, reference, statistics, support, unit 5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Appendix</cp:category>
</cp:coreProperties>
</file>