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Audience Types and Communication Strategies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Appendix E | Week 30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Younger Students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Use simple vocabulary, analogies, and clear visuals. Avoid unexplained technical terms.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Parents and Community Members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Explain why the project matters and how it connects to real-world problems.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Science Teachers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Be prepared to explain methods, variables, data, and limitations.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Mentors or Experts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Be ready for technical questions about design decisions, measurement quality, analysis, and future work.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Administrators or District Leaders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Explain both the project and what the research experience taught you.</w:t>
      </w:r>
    </w:p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Adapt Without Changing the Science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The evidence and limitations stay the same. Adapt vocabulary, context, pacing, and examples to what each public audience needs.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Audience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Emphasize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Avoid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Likely focus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General public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Why the problem matters, the central result, and a clear visual.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Unexplained jargon or long methods detail.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What did you learn and why does it matter?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Scientists or university audience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Method choices, evidence quality, uncertainty, and connection to prior knowledge.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Claims that exceed the design or sample.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How reliable is the evidence?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Industry or community partner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Practical need, constraints, performance, feasibility, and next step.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 result without a use case or decision.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What could be applied or improved?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School or district leaders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Student learning, authentic process, impact, and responsible implementation.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Course details disconnected from outcomes.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What did the student demonstrate?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Younger students or families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Plain language, an engaging example, and a visible takeaway.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Acronyms, dense statistics, or assumed background.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How does this connect to everyday life?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APPENDIX E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Audience Types and Communication Strategies | STARLAB Unit 6</dc:title>
  <dc:subject>Appendix E for Unit 6</dc:subject>
  <dc:creator>STARLAB</dc:creator>
  <cp:keywords>STARLAB, Unit 6, Appendix, appendix, audience, communication, final presentation, public presentation, reference, showcase, support, unit 6, visitor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