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Showcase Planning Guide for Teachers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I | Week 32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Decisions to Make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Date and time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Location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Audience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Presentation format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Student setup needs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Technology needs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Visitor flow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Assessment method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Feedback collection method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Photography or media permissions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Cleanup expectations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Possible Showcase Formats</w:t>
      </w:r>
    </w:p>
    <w:p>
      <w:pPr>
        <w:pStyle w:val="Heading3"/>
      </w:pPr>
      <w:r>
        <w:rPr>
          <w:rFonts w:ascii="Arial" w:hAnsi="Arial" w:eastAsia="Arial" w:cs="Arial"/>
          <w:b w:val="1"/>
          <w:color w:val="555555"/>
          <w:sz w:val="20"/>
          <w:szCs w:val="20"/>
        </w:rPr>
        <w:t>Poster Session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Students stand by posters or boards and give repeated short explanations.</w:t>
      </w:r>
    </w:p>
    <w:p>
      <w:pPr>
        <w:pStyle w:val="Heading3"/>
      </w:pPr>
      <w:r>
        <w:rPr>
          <w:rFonts w:ascii="Arial" w:hAnsi="Arial" w:eastAsia="Arial" w:cs="Arial"/>
          <w:b w:val="1"/>
          <w:color w:val="555555"/>
          <w:sz w:val="20"/>
          <w:szCs w:val="20"/>
        </w:rPr>
        <w:t>Formal Presentation Session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Students give timed presentations to an audience.</w:t>
      </w:r>
    </w:p>
    <w:p>
      <w:pPr>
        <w:pStyle w:val="Heading3"/>
      </w:pPr>
      <w:r>
        <w:rPr>
          <w:rFonts w:ascii="Arial" w:hAnsi="Arial" w:eastAsia="Arial" w:cs="Arial"/>
          <w:b w:val="1"/>
          <w:color w:val="555555"/>
          <w:sz w:val="20"/>
          <w:szCs w:val="20"/>
        </w:rPr>
        <w:t>Rotating Gallery Walk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Half the class presents while half rotates, then students switch.</w:t>
      </w:r>
    </w:p>
    <w:p>
      <w:pPr>
        <w:pStyle w:val="Heading3"/>
      </w:pPr>
      <w:r>
        <w:rPr>
          <w:rFonts w:ascii="Arial" w:hAnsi="Arial" w:eastAsia="Arial" w:cs="Arial"/>
          <w:b w:val="1"/>
          <w:color w:val="555555"/>
          <w:sz w:val="20"/>
          <w:szCs w:val="20"/>
        </w:rPr>
        <w:t>Mentor Panel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Students present to mentors, university partners, or professionals.</w:t>
      </w:r>
    </w:p>
    <w:p>
      <w:pPr>
        <w:pStyle w:val="Heading3"/>
      </w:pPr>
      <w:r>
        <w:rPr>
          <w:rFonts w:ascii="Arial" w:hAnsi="Arial" w:eastAsia="Arial" w:cs="Arial"/>
          <w:b w:val="1"/>
          <w:color w:val="555555"/>
          <w:sz w:val="20"/>
          <w:szCs w:val="20"/>
        </w:rPr>
        <w:t>Public Research Night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Families, administrators, teachers, and community members attend an evening event.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I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Showcase Planning Guide for Teachers | STARLAB Unit 6</dc:title>
  <dc:subject>Appendix I for Unit 6</dc:subject>
  <dc:creator>STARLAB</dc:creator>
  <cp:keywords>STARLAB, Unit 6, Appendix, appendix, audience, final presentation, public presentation, reference, showcase, support, unit 6, visitor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