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Kicker"/>
      </w:pPr>
      <w:r>
        <w:rPr>
          <w:rFonts w:ascii="Arial" w:hAnsi="Arial" w:eastAsia="Arial" w:cs="Arial"/>
          <w:color w:val="E31B23"/>
          <w:sz w:val="18"/>
          <w:szCs w:val="18"/>
          <w:b w:val="1"/>
        </w:rPr>
        <w:t>STARLAB</w:t>
      </w:r>
    </w:p>
    <w:p>
      <w:pPr>
        <w:pStyle w:val="STARLABResourceTitle"/>
        <w:jc w:val="center"/>
      </w:pPr>
      <w:r>
        <w:rPr>
          <w:rFonts w:ascii="Arial" w:hAnsi="Arial" w:eastAsia="Arial" w:cs="Arial"/>
          <w:color w:val="111111"/>
          <w:sz w:val="38"/>
          <w:szCs w:val="38"/>
          <w:b w:val="1"/>
        </w:rPr>
        <w:t>Competition Fair and Publication Pathways</w:t>
      </w:r>
    </w:p>
    <w:p>
      <w:pPr>
        <w:pStyle w:val="STARLABResourceMeta"/>
      </w:pPr>
      <w:r>
        <w:rPr>
          <w:rFonts w:ascii="Arial" w:hAnsi="Arial" w:eastAsia="Arial" w:cs="Arial"/>
          <w:color w:val="555555"/>
          <w:sz w:val="17"/>
          <w:szCs w:val="17"/>
          <w:b w:val="1"/>
        </w:rPr>
        <w:t>Unit 6 | Appendix P | Week 34 | Optional / Teacher Reference</w:t>
      </w:r>
    </w:p>
    <w:p>
      <w:pPr>
        <w:pStyle w:val="STARLABDivider"/>
        <w:pBdr>
          <w:bottom w:val="single" w:sz="12" w:space="1" w:color="E31B23"/>
        </w:pBdr>
      </w:pPr>
    </w:p>
    <w:p>
      <w:pPr>
        <w:spacing w:after="40"/>
      </w:pPr>
    </w:p>
    <w:p>
      <w:pPr/>
      <w:r>
        <w:rPr>
          <w:rFonts w:ascii="Arial" w:hAnsi="Arial" w:eastAsia="Arial" w:cs="Arial"/>
          <w:color w:val="111111"/>
          <w:sz w:val="18"/>
          <w:szCs w:val="18"/>
        </w:rPr>
        <w:t>Students who want to continue may consider:</w:t>
      </w:r>
    </w:p>
    <w:p>
      <w:pPr/>
      <w:r>
        <w:rPr>
          <w:rFonts w:ascii="Arial" w:hAnsi="Arial" w:eastAsia="Arial" w:cs="Arial"/>
          <w:color w:val="111111"/>
          <w:sz w:val="18"/>
          <w:szCs w:val="18"/>
        </w:rPr>
        <w:t>Local school research showcase</w:t>
      </w:r>
    </w:p>
    <w:p>
      <w:pPr/>
      <w:r>
        <w:rPr>
          <w:rFonts w:ascii="Arial" w:hAnsi="Arial" w:eastAsia="Arial" w:cs="Arial"/>
          <w:color w:val="111111"/>
          <w:sz w:val="18"/>
          <w:szCs w:val="18"/>
        </w:rPr>
        <w:t>District science fair</w:t>
      </w:r>
    </w:p>
    <w:p>
      <w:pPr/>
      <w:r>
        <w:rPr>
          <w:rFonts w:ascii="Arial" w:hAnsi="Arial" w:eastAsia="Arial" w:cs="Arial"/>
          <w:color w:val="111111"/>
          <w:sz w:val="18"/>
          <w:szCs w:val="18"/>
        </w:rPr>
        <w:t>Regional science and engineering fair</w:t>
      </w:r>
    </w:p>
    <w:p>
      <w:pPr/>
      <w:r>
        <w:rPr>
          <w:rFonts w:ascii="Arial" w:hAnsi="Arial" w:eastAsia="Arial" w:cs="Arial"/>
          <w:color w:val="111111"/>
          <w:sz w:val="18"/>
          <w:szCs w:val="18"/>
        </w:rPr>
        <w:t>State science fair</w:t>
      </w:r>
    </w:p>
    <w:p>
      <w:pPr/>
      <w:r>
        <w:rPr>
          <w:rFonts w:ascii="Arial" w:hAnsi="Arial" w:eastAsia="Arial" w:cs="Arial"/>
          <w:color w:val="111111"/>
          <w:sz w:val="18"/>
          <w:szCs w:val="18"/>
        </w:rPr>
        <w:t>Junior Science and Humanities Symposium, if available</w:t>
      </w:r>
    </w:p>
    <w:p>
      <w:pPr/>
      <w:r>
        <w:rPr>
          <w:rFonts w:ascii="Arial" w:hAnsi="Arial" w:eastAsia="Arial" w:cs="Arial"/>
          <w:color w:val="111111"/>
          <w:sz w:val="18"/>
          <w:szCs w:val="18"/>
        </w:rPr>
        <w:t>Student research journals</w:t>
      </w:r>
    </w:p>
    <w:p>
      <w:pPr/>
      <w:r>
        <w:rPr>
          <w:rFonts w:ascii="Arial" w:hAnsi="Arial" w:eastAsia="Arial" w:cs="Arial"/>
          <w:color w:val="111111"/>
          <w:sz w:val="18"/>
          <w:szCs w:val="18"/>
        </w:rPr>
        <w:t>Community presentations</w:t>
      </w:r>
    </w:p>
    <w:p>
      <w:pPr/>
      <w:r>
        <w:rPr>
          <w:rFonts w:ascii="Arial" w:hAnsi="Arial" w:eastAsia="Arial" w:cs="Arial"/>
          <w:color w:val="111111"/>
          <w:sz w:val="18"/>
          <w:szCs w:val="18"/>
        </w:rPr>
        <w:t>University lab continuation</w:t>
      </w:r>
    </w:p>
    <w:p>
      <w:pPr/>
      <w:r>
        <w:rPr>
          <w:rFonts w:ascii="Arial" w:hAnsi="Arial" w:eastAsia="Arial" w:cs="Arial"/>
          <w:color w:val="111111"/>
          <w:sz w:val="18"/>
          <w:szCs w:val="18"/>
        </w:rPr>
        <w:t>Independent study</w:t>
      </w:r>
    </w:p>
    <w:p>
      <w:pPr/>
      <w:r>
        <w:rPr>
          <w:rFonts w:ascii="Arial" w:hAnsi="Arial" w:eastAsia="Arial" w:cs="Arial"/>
          <w:color w:val="111111"/>
          <w:sz w:val="18"/>
          <w:szCs w:val="18"/>
        </w:rPr>
        <w:t>Summer research programs</w:t>
      </w:r>
    </w:p>
    <w:p>
      <w:pPr>
        <w:pStyle w:val="STARLABPrompt"/>
      </w:pPr>
      <w:r>
        <w:rPr>
          <w:rFonts w:ascii="Arial" w:hAnsi="Arial" w:eastAsia="Arial" w:cs="Arial"/>
          <w:color w:val="111111"/>
          <w:sz w:val="20"/>
          <w:szCs w:val="20"/>
          <w:b w:val="1"/>
        </w:rPr>
        <w:t>Teacher note:</w:t>
      </w:r>
    </w:p>
    <w:p>
      <w:pPr/>
      <w:r>
        <w:rPr>
          <w:rFonts w:ascii="Arial" w:hAnsi="Arial" w:eastAsia="Arial" w:cs="Arial"/>
          <w:color w:val="111111"/>
          <w:sz w:val="18"/>
          <w:szCs w:val="18"/>
        </w:rPr>
        <w:t>Submission requirements vary. Projects involving human subjects, animals, biological agents, hazardous materials, or certain types of data may require approval forms before research begins. Teachers should check rules early for students who may pursue competitions.</w:t>
      </w:r>
    </w:p>
    <w:sectPr w:rsidR="00FC693F" w:rsidRPr="0006063C" w:rsidSect="00034616">
      <w:headerReference w:type="default" r:id="rId9"/>
      <w:footerReference w:type="default" r:id="rId10"/>
      <w:pgSz w:w="12240" w:h="15840"/>
      <w:pgMar w:top="936" w:right="1440" w:bottom="93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Arial" w:hAnsi="Arial" w:eastAsia="Arial" w:cs="Arial"/>
        <w:color w:val="555555"/>
        <w:sz w:val="16"/>
        <w:szCs w:val="16"/>
        <w:b w:val="0"/>
      </w:rPr>
      <w:t xml:space="preserve">STARLAB | UNIT 6 | APPENDIX P | PAGE </w:t>
    </w:r>
    <w:r>
      <w:rPr>
        <w:rFonts w:ascii="Arial" w:hAnsi="Arial" w:eastAsia="Arial" w:cs="Arial"/>
        <w:color w:val="555555"/>
        <w:sz w:val="16"/>
        <w:szCs w:val="16"/>
        <w:b w:val="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spacing w:before="0" w:after="40" w:line="240" w:lineRule="auto"/>
    </w:pPr>
    <w:rPr>
      <w:rFonts w:ascii="Arial" w:hAnsi="Arial" w:eastAsia="Arial"/>
      <w:b w:val="0"/>
      <w:color w:val="11111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line="240" w:lineRule="auto"/>
      <w:outlineLvl w:val="0"/>
    </w:pPr>
    <w:rPr>
      <w:rFonts w:asciiTheme="majorHAnsi" w:eastAsiaTheme="majorEastAsia" w:hAnsiTheme="majorHAnsi" w:cstheme="majorBidi" w:ascii="Arial" w:hAnsi="Arial" w:eastAsia="Arial"/>
      <w:b/>
      <w:bCs/>
      <w:color w:val="E31B23"/>
      <w:sz w:val="27"/>
      <w:szCs w:val="28"/>
    </w:rPr>
  </w:style>
  <w:style w:type="paragraph" w:styleId="Heading2">
    <w:name w:val="heading 2"/>
    <w:basedOn w:val="Normal"/>
    <w:next w:val="Normal"/>
    <w:link w:val="Heading2Char"/>
    <w:uiPriority w:val="9"/>
    <w:unhideWhenUsed/>
    <w:qFormat/>
    <w:rsid w:val="00FC693F"/>
    <w:pPr>
      <w:keepNext/>
      <w:keepLines/>
      <w:spacing w:before="120" w:after="40" w:line="240" w:lineRule="auto"/>
      <w:outlineLvl w:val="1"/>
    </w:pPr>
    <w:rPr>
      <w:rFonts w:asciiTheme="majorHAnsi" w:eastAsiaTheme="majorEastAsia" w:hAnsiTheme="majorHAnsi" w:cstheme="majorBidi" w:ascii="Arial" w:hAnsi="Arial" w:eastAsia="Arial"/>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5555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40" w:lineRule="auto"/>
      <w:ind w:left="547" w:hanging="274"/>
      <w:contextualSpacing/>
    </w:pPr>
    <w:rPr>
      <w:rFonts w:ascii="Arial" w:hAnsi="Arial" w:eastAsia="Arial"/>
      <w:b w:val="0"/>
      <w:color w:val="111111"/>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40" w:lineRule="auto"/>
      <w:ind w:left="547" w:hanging="274"/>
      <w:contextualSpacing/>
    </w:pPr>
    <w:rPr>
      <w:rFonts w:ascii="Arial" w:hAnsi="Arial" w:eastAsia="Arial"/>
      <w:b w:val="0"/>
      <w:color w:val="111111"/>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RLABKicker">
    <w:name w:val="STARLAB Kicker"/>
    <w:pPr>
      <w:spacing w:before="0" w:after="60" w:line="240" w:lineRule="auto"/>
    </w:pPr>
    <w:rPr>
      <w:rFonts w:ascii="Arial" w:hAnsi="Arial" w:eastAsia="Arial"/>
      <w:b/>
      <w:caps/>
      <w:color w:val="E31B23"/>
      <w:sz w:val="18"/>
    </w:rPr>
  </w:style>
  <w:style w:type="paragraph" w:customStyle="1" w:styleId="STARLABResourceTitle">
    <w:name w:val="STARLAB Resource Title"/>
    <w:pPr>
      <w:spacing w:before="0" w:after="60" w:line="240" w:lineRule="auto"/>
    </w:pPr>
    <w:rPr>
      <w:rFonts w:ascii="Arial" w:hAnsi="Arial" w:eastAsia="Arial"/>
      <w:b/>
      <w:color w:val="111111"/>
      <w:sz w:val="38"/>
    </w:rPr>
  </w:style>
  <w:style w:type="paragraph" w:customStyle="1" w:styleId="STARLABResourceMeta">
    <w:name w:val="STARLAB Resource Meta"/>
    <w:pPr>
      <w:spacing w:before="0" w:after="80" w:line="240" w:lineRule="auto"/>
    </w:pPr>
    <w:rPr>
      <w:rFonts w:ascii="Arial" w:hAnsi="Arial" w:eastAsia="Arial"/>
      <w:b/>
      <w:color w:val="555555"/>
      <w:sz w:val="17"/>
    </w:rPr>
  </w:style>
  <w:style w:type="paragraph" w:customStyle="1" w:styleId="STARLABDivider">
    <w:name w:val="STARLAB Divider"/>
    <w:pPr>
      <w:spacing w:before="0" w:after="160" w:line="240" w:lineRule="auto"/>
    </w:pPr>
    <w:rPr>
      <w:rFonts w:ascii="Arial" w:hAnsi="Arial" w:eastAsia="Arial"/>
      <w:b w:val="0"/>
      <w:color w:val="E31B23"/>
      <w:sz w:val="4"/>
    </w:rPr>
  </w:style>
  <w:style w:type="paragraph" w:customStyle="1" w:styleId="STARLABPrompt">
    <w:name w:val="STARLAB Prompt"/>
    <w:pPr>
      <w:spacing w:before="60" w:after="40" w:line="247" w:lineRule="auto"/>
    </w:pPr>
    <w:rPr>
      <w:rFonts w:ascii="Arial" w:hAnsi="Arial" w:eastAsia="Arial"/>
      <w:b/>
      <w:color w:val="111111"/>
      <w:sz w:val="20"/>
    </w:rPr>
  </w:style>
  <w:style w:type="paragraph" w:customStyle="1" w:styleId="STARLABUseNote">
    <w:name w:val="STARLAB Use Note"/>
    <w:pPr>
      <w:spacing w:before="0" w:after="80" w:line="247" w:lineRule="auto"/>
    </w:pPr>
    <w:rPr>
      <w:rFonts w:ascii="Arial" w:hAnsi="Arial" w:eastAsia="Arial"/>
      <w:b w:val="0"/>
      <w:color w:val="555555"/>
      <w:sz w:val="17"/>
    </w:rPr>
  </w:style>
  <w:style w:type="paragraph" w:customStyle="1" w:styleId="STARLABResponseLine">
    <w:name w:val="STARLAB Response Line"/>
    <w:pPr>
      <w:spacing w:before="0" w:after="60" w:line="240" w:lineRule="auto"/>
    </w:pPr>
    <w:rPr>
      <w:rFonts w:ascii="Arial" w:hAnsi="Arial" w:eastAsia="Arial"/>
      <w:b w:val="0"/>
      <w:color w:val="111111"/>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Competition Fair and Publication Pathways | STARLAB Unit 6</dc:title>
  <dc:subject>Appendix P for Unit 6</dc:subject>
  <dc:creator>STARLAB</dc:creator>
  <cp:keywords>STARLAB, Unit 6, Appendix, appendix, reference, support, unit 6</cp:keywords>
  <dc:description>Standardized STARLAB curriculum resource.</dc:description>
  <cp:lastModifiedBy/>
  <cp:revision>1</cp:revision>
  <dcterms:created xsi:type="dcterms:W3CDTF">2013-12-23T23:15:00Z</dcterms:created>
  <dcterms:modified xsi:type="dcterms:W3CDTF">2013-12-23T23:15:00Z</dcterms:modified>
  <cp:category>Appendix</cp:category>
</cp:coreProperties>
</file>