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0"/>
      </w:pPr>
      <w:r>
        <w:rPr>
          <w:rFonts w:ascii="Arial" w:hAnsi="Arial"/>
          <w:b/>
          <w:color w:val="ED1C24"/>
          <w:sz w:val="20"/>
        </w:rPr>
        <w:t>STARLAB</w:t>
      </w:r>
    </w:p>
    <w:p>
      <w:pPr>
        <w:spacing w:after="20"/>
      </w:pPr>
      <w:r>
        <w:rPr>
          <w:rFonts w:ascii="Arial" w:hAnsi="Arial"/>
          <w:b/>
          <w:color w:val="111111"/>
          <w:sz w:val="36"/>
        </w:rPr>
        <w:t>Week 16: Unit 3 Closure and Readiness for Analysis</w:t>
      </w:r>
    </w:p>
    <w:p>
      <w:pPr>
        <w:spacing w:after="160"/>
      </w:pPr>
      <w:r>
        <w:rPr>
          <w:rFonts w:ascii="Arial" w:hAnsi="Arial"/>
          <w:color w:val="555555"/>
          <w:sz w:val="20"/>
        </w:rPr>
        <w:t>STARLAB Unit 3 Teaching Guide</w:t>
      </w:r>
    </w:p>
    <w:p>
      <w:pPr>
        <w:pStyle w:val="Heading2"/>
      </w:pPr>
      <w:r>
        <w:t>Teacher Overview</w:t>
      </w:r>
    </w:p>
    <w:p>
      <w:r>
        <w:t>Week 16 closes pilot testing and data collection and prepares students for Unit 4. The goal is not to force every project into a perfect or complete data set. The goal is to preserve what actually happened, organize usable evidence, identify limitations, and make an honest plan for analysis.</w:t>
      </w:r>
    </w:p>
    <w:p>
      <w:r>
        <w:t>Students may complete a final approved trial when it is safe, feasible, and genuinely needed. They should not introduce a new method, material, participant group, tool, location, or risk without teacher review and re-approval. A limited data set can still support a meaningful pilot study, feasibility analysis, prototype evaluation, or failure analysis.</w:t>
      </w:r>
    </w:p>
    <w:p>
      <w:pPr>
        <w:pStyle w:val="Heading2"/>
      </w:pPr>
      <w:r>
        <w:t>Weekly Objectives</w:t>
      </w:r>
    </w:p>
    <w:p>
      <w:r>
        <w:t>Students will be able to:</w:t>
      </w:r>
    </w:p>
    <w:p>
      <w:pPr>
        <w:numPr>
          <w:ilvl w:val="0"/>
          <w:numId w:val="123"/>
        </w:numPr>
        <w:spacing w:after="40"/>
      </w:pPr>
      <w:r>
        <w:rPr>
          <w:rFonts w:ascii="Arial" w:hAnsi="Arial"/>
        </w:rPr>
        <w:t>Complete final approved data collection tasks when feasible.</w:t>
      </w:r>
    </w:p>
    <w:p>
      <w:pPr>
        <w:numPr>
          <w:ilvl w:val="0"/>
          <w:numId w:val="124"/>
        </w:numPr>
        <w:spacing w:after="40"/>
      </w:pPr>
      <w:r>
        <w:rPr>
          <w:rFonts w:ascii="Arial" w:hAnsi="Arial"/>
        </w:rPr>
        <w:t>Preserve and organize raw data, files, images, observations, and prototype records.</w:t>
      </w:r>
    </w:p>
    <w:p>
      <w:pPr>
        <w:numPr>
          <w:ilvl w:val="0"/>
          <w:numId w:val="125"/>
        </w:numPr>
        <w:spacing w:after="40"/>
      </w:pPr>
      <w:r>
        <w:rPr>
          <w:rFonts w:ascii="Arial" w:hAnsi="Arial"/>
        </w:rPr>
        <w:t>Evaluate whether the available evidence is ready for Unit 4 analysis.</w:t>
      </w:r>
    </w:p>
    <w:p>
      <w:pPr>
        <w:numPr>
          <w:ilvl w:val="0"/>
          <w:numId w:val="126"/>
        </w:numPr>
        <w:spacing w:after="40"/>
      </w:pPr>
      <w:r>
        <w:rPr>
          <w:rFonts w:ascii="Arial" w:hAnsi="Arial"/>
        </w:rPr>
        <w:t>Identify missing, questionable, or limited evidence without hiding or rewriting results.</w:t>
      </w:r>
    </w:p>
    <w:p>
      <w:pPr>
        <w:numPr>
          <w:ilvl w:val="0"/>
          <w:numId w:val="127"/>
        </w:numPr>
        <w:spacing w:after="40"/>
      </w:pPr>
      <w:r>
        <w:rPr>
          <w:rFonts w:ascii="Arial" w:hAnsi="Arial"/>
        </w:rPr>
        <w:t>Evaluate the completeness and quality of the research journal.</w:t>
      </w:r>
    </w:p>
    <w:p>
      <w:pPr>
        <w:numPr>
          <w:ilvl w:val="0"/>
          <w:numId w:val="128"/>
        </w:numPr>
        <w:spacing w:after="40"/>
      </w:pPr>
      <w:r>
        <w:rPr>
          <w:rFonts w:ascii="Arial" w:hAnsi="Arial"/>
        </w:rPr>
        <w:t>Create a specific recovery or reduced-scope analysis plan when needed.</w:t>
      </w:r>
    </w:p>
    <w:p>
      <w:pPr>
        <w:pStyle w:val="Heading2"/>
      </w:pPr>
      <w:r>
        <w:t>Teacher Materials</w:t>
      </w:r>
    </w:p>
    <w:p>
      <w:pPr>
        <w:numPr>
          <w:ilvl w:val="0"/>
          <w:numId w:val="129"/>
        </w:numPr>
        <w:spacing w:after="40"/>
      </w:pPr>
      <w:r>
        <w:t>Revisit / Reference - Deck 9: Data Organization - Raw Data vs. Clean Data</w:t>
      </w:r>
    </w:p>
    <w:p>
      <w:pPr>
        <w:numPr>
          <w:ilvl w:val="0"/>
          <w:numId w:val="130"/>
        </w:numPr>
        <w:spacing w:after="40"/>
      </w:pPr>
      <w:r>
        <w:t>Optional Carryover - Student Handout 17: Data Audit and Organization Checklist (revisit as needed)</w:t>
      </w:r>
    </w:p>
    <w:p>
      <w:pPr>
        <w:numPr>
          <w:ilvl w:val="0"/>
          <w:numId w:val="131"/>
        </w:numPr>
        <w:spacing w:after="40"/>
      </w:pPr>
      <w:r>
        <w:rPr>
          <w:rFonts w:ascii="Arial" w:hAnsi="Arial"/>
        </w:rPr>
        <w:t>Student Handout 18: Unit 3 Readiness for Analysis Review</w:t>
      </w:r>
    </w:p>
    <w:p>
      <w:pPr>
        <w:numPr>
          <w:ilvl w:val="0"/>
          <w:numId w:val="132"/>
        </w:numPr>
        <w:spacing w:after="40"/>
      </w:pPr>
      <w:r>
        <w:rPr>
          <w:rFonts w:ascii="Arial" w:hAnsi="Arial"/>
        </w:rPr>
        <w:t>Student Handout 19: Research Journal Self-Assessment</w:t>
      </w:r>
    </w:p>
    <w:p>
      <w:pPr>
        <w:numPr>
          <w:ilvl w:val="0"/>
          <w:numId w:val="133"/>
        </w:numPr>
        <w:spacing w:after="40"/>
      </w:pPr>
      <w:r>
        <w:t>Optional / Teacher Reference - Appendix S: Unit 3 Teacher Checklist</w:t>
      </w:r>
    </w:p>
    <w:p>
      <w:pPr>
        <w:numPr>
          <w:ilvl w:val="0"/>
          <w:numId w:val="134"/>
        </w:numPr>
        <w:spacing w:after="40"/>
      </w:pPr>
      <w:r>
        <w:t>Optional / Teacher Reference - Appendix T: Transition to Unit 4 Guidance</w:t>
      </w:r>
    </w:p>
    <w:p>
      <w:pPr>
        <w:numPr>
          <w:ilvl w:val="0"/>
          <w:numId w:val="135"/>
        </w:numPr>
        <w:spacing w:after="40"/>
      </w:pPr>
      <w:r>
        <w:t>Optional / Teacher Reference - Appendix U: Differentiation and Implementation Notes</w:t>
      </w:r>
    </w:p>
    <w:p>
      <w:pPr>
        <w:pStyle w:val="Heading2"/>
      </w:pPr>
      <w:r>
        <w:t>Preparation Before the Week</w:t>
      </w:r>
    </w:p>
    <w:p>
      <w:pPr>
        <w:numPr>
          <w:ilvl w:val="0"/>
          <w:numId w:val="136"/>
        </w:numPr>
        <w:spacing w:after="40"/>
      </w:pPr>
      <w:r>
        <w:rPr>
          <w:rFonts w:ascii="Arial" w:hAnsi="Arial"/>
        </w:rPr>
        <w:t>Identify students who still need an approved final trial, a recovery conference, or a reduced-scope pathway.</w:t>
      </w:r>
    </w:p>
    <w:p>
      <w:pPr>
        <w:numPr>
          <w:ilvl w:val="0"/>
          <w:numId w:val="137"/>
        </w:numPr>
        <w:spacing w:after="40"/>
      </w:pPr>
      <w:r>
        <w:rPr>
          <w:rFonts w:ascii="Arial" w:hAnsi="Arial"/>
        </w:rPr>
        <w:t>Confirm that students can access their research journals, raw data, files, photos, code outputs, and prototype records.</w:t>
      </w:r>
    </w:p>
    <w:p>
      <w:pPr>
        <w:numPr>
          <w:ilvl w:val="0"/>
          <w:numId w:val="138"/>
        </w:numPr>
        <w:spacing w:after="40"/>
      </w:pPr>
      <w:r>
        <w:rPr>
          <w:rFonts w:ascii="Arial" w:hAnsi="Arial"/>
        </w:rPr>
        <w:t>Prepare one secure submission location for the Unit 3 evidence snapshot or folder link.</w:t>
      </w:r>
    </w:p>
    <w:p>
      <w:pPr>
        <w:numPr>
          <w:ilvl w:val="0"/>
          <w:numId w:val="139"/>
        </w:numPr>
        <w:spacing w:after="40"/>
      </w:pPr>
      <w:r>
        <w:rPr>
          <w:rFonts w:ascii="Arial" w:hAnsi="Arial"/>
        </w:rPr>
        <w:t>Decide how students will show readiness: teacher conference, digital submission, folder review, or a combination.</w:t>
      </w:r>
    </w:p>
    <w:p>
      <w:pPr>
        <w:pStyle w:val="Heading2"/>
      </w:pPr>
      <w:r>
        <w:t>Suggested Weekly Flow</w:t>
      </w:r>
    </w:p>
    <w:p>
      <w:pPr>
        <w:pStyle w:val="Heading3"/>
      </w:pPr>
      <w:r>
        <w:t>Day 1: Final Approved Work and Scope Freeze</w:t>
      </w:r>
    </w:p>
    <w:p>
      <w:r>
        <w:t>Begin with a short status check. Students identify whether they need a final approved trial, documentation cleanup, file organization, or no additional testing. Set a clear cutoff for new data collection so the class can transition into analysis.</w:t>
      </w:r>
    </w:p>
    <w:p>
      <w:r>
        <w:rPr>
          <w:rFonts w:ascii="Arial" w:hAnsi="Arial"/>
          <w:b/>
        </w:rPr>
        <w:t xml:space="preserve">Teacher checkpoint: </w:t>
      </w:r>
      <w:r>
        <w:rPr>
          <w:rFonts w:ascii="Arial" w:hAnsi="Arial"/>
        </w:rPr>
        <w:t>Any change that affects safety, ethics, supervision, participants, tools, location, or data privacy requires review before work continues.</w:t>
      </w:r>
    </w:p>
    <w:p>
      <w:r>
        <w:t>Students who cannot complete additional testing should document what is missing and why. They should not fabricate, estimate, or backfill data.</w:t>
      </w:r>
    </w:p>
    <w:p>
      <w:pPr>
        <w:pStyle w:val="Heading3"/>
      </w:pPr>
      <w:r>
        <w:t>Day 2: Evidence Organization and Backup</w:t>
      </w:r>
    </w:p>
    <w:p>
      <w:r>
        <w:t>Students finish or revisit Student Handout 17. They preserve raw evidence, create clearly labeled working copies, organize files, add units and trial labels, and flag questionable records. Use Deck 9 to reinforce that cleaning data means organizing and documenting decisions, not changing results to make them look better.</w:t>
      </w:r>
    </w:p>
    <w:p>
      <w:pPr>
        <w:numPr>
          <w:ilvl w:val="0"/>
          <w:numId w:val="140"/>
        </w:numPr>
        <w:spacing w:after="40"/>
      </w:pPr>
      <w:r>
        <w:rPr>
          <w:rFonts w:ascii="Arial" w:hAnsi="Arial"/>
        </w:rPr>
        <w:t>Raw data remain unchanged and accessible.</w:t>
      </w:r>
    </w:p>
    <w:p>
      <w:pPr>
        <w:numPr>
          <w:ilvl w:val="0"/>
          <w:numId w:val="141"/>
        </w:numPr>
        <w:spacing w:after="40"/>
      </w:pPr>
      <w:r>
        <w:rPr>
          <w:rFonts w:ascii="Arial" w:hAnsi="Arial"/>
        </w:rPr>
        <w:t>A clean working copy or organized evidence folder is ready for Unit 4.</w:t>
      </w:r>
    </w:p>
    <w:p>
      <w:pPr>
        <w:numPr>
          <w:ilvl w:val="0"/>
          <w:numId w:val="142"/>
        </w:numPr>
        <w:spacing w:after="40"/>
      </w:pPr>
      <w:r>
        <w:rPr>
          <w:rFonts w:ascii="Arial" w:hAnsi="Arial"/>
        </w:rPr>
        <w:t>File names, dates, units, conditions, trials, and versions are understandable.</w:t>
      </w:r>
    </w:p>
    <w:p>
      <w:pPr>
        <w:numPr>
          <w:ilvl w:val="0"/>
          <w:numId w:val="143"/>
        </w:numPr>
        <w:spacing w:after="40"/>
      </w:pPr>
      <w:r>
        <w:rPr>
          <w:rFonts w:ascii="Arial" w:hAnsi="Arial"/>
        </w:rPr>
        <w:t>Questionable or excluded records are flagged with a reason.</w:t>
      </w:r>
    </w:p>
    <w:p>
      <w:pPr>
        <w:numPr>
          <w:ilvl w:val="0"/>
          <w:numId w:val="144"/>
        </w:numPr>
        <w:spacing w:after="40"/>
      </w:pPr>
      <w:r>
        <w:rPr>
          <w:rFonts w:ascii="Arial" w:hAnsi="Arial"/>
        </w:rPr>
        <w:t>A backup exists in a teacher-approved location.</w:t>
      </w:r>
    </w:p>
    <w:p>
      <w:pPr>
        <w:pStyle w:val="Heading3"/>
      </w:pPr>
      <w:r>
        <w:t>Day 3: Readiness for Analysis Review</w:t>
      </w:r>
    </w:p>
    <w:p>
      <w:r>
        <w:t>Students complete Student Handout 18 and identify their current research question or engineering goal, available evidence, missing evidence, limitations, and likely analysis needs. Conduct brief conferences with students who select a recovery or limited-data pathway.</w:t>
      </w:r>
    </w:p>
    <w:p>
      <w:r>
        <w:rPr>
          <w:rFonts w:ascii="Arial" w:hAnsi="Arial"/>
          <w:b/>
        </w:rPr>
        <w:t xml:space="preserve">Use these readiness outcomes: </w:t>
      </w:r>
    </w:p>
    <w:p>
      <w:pPr>
        <w:numPr>
          <w:ilvl w:val="0"/>
          <w:numId w:val="145"/>
        </w:numPr>
        <w:spacing w:after="40"/>
      </w:pPr>
      <w:r>
        <w:rPr>
          <w:rFonts w:ascii="Arial" w:hAnsi="Arial"/>
        </w:rPr>
        <w:t>Ready for Unit 4 - evidence is organized and the student can begin selecting analysis methods.</w:t>
      </w:r>
    </w:p>
    <w:p>
      <w:pPr>
        <w:numPr>
          <w:ilvl w:val="0"/>
          <w:numId w:val="146"/>
        </w:numPr>
        <w:spacing w:after="40"/>
      </w:pPr>
      <w:r>
        <w:rPr>
          <w:rFonts w:ascii="Arial" w:hAnsi="Arial"/>
        </w:rPr>
        <w:t>Ready with minor cleanup - analysis may begin after a short, specific organization task.</w:t>
      </w:r>
    </w:p>
    <w:p>
      <w:pPr>
        <w:numPr>
          <w:ilvl w:val="0"/>
          <w:numId w:val="147"/>
        </w:numPr>
        <w:spacing w:after="40"/>
      </w:pPr>
      <w:r>
        <w:rPr>
          <w:rFonts w:ascii="Arial" w:hAnsi="Arial"/>
        </w:rPr>
        <w:t>Limited-data pathway - the project is reframed honestly as a pilot, feasibility study, prototype test, method-development project, or failure analysis.</w:t>
      </w:r>
    </w:p>
    <w:p>
      <w:pPr>
        <w:numPr>
          <w:ilvl w:val="0"/>
          <w:numId w:val="148"/>
        </w:numPr>
        <w:spacing w:after="40"/>
      </w:pPr>
      <w:r>
        <w:rPr>
          <w:rFonts w:ascii="Arial" w:hAnsi="Arial"/>
        </w:rPr>
        <w:t>Teacher conference required - the student needs a documented recovery decision before analysis begins.</w:t>
      </w:r>
    </w:p>
    <w:p>
      <w:r>
        <w:t>These are instructional readiness labels, not project safety-approval statuses.</w:t>
      </w:r>
    </w:p>
    <w:p>
      <w:pPr>
        <w:pStyle w:val="Heading3"/>
      </w:pPr>
      <w:r>
        <w:t>Day 4: Research Journal Self-Assessment</w:t>
      </w:r>
    </w:p>
    <w:p>
      <w:r>
        <w:t>Students complete Student Handout 19 and cite specific dates, pages, entries, photos, files, or links as evidence. Students may repair missing organization or add a current retrospective note, but they may not create entries that pretend to have been written earlier. Retrospective notes must be dated accurately and labeled as retrospective.</w:t>
      </w:r>
    </w:p>
    <w:p>
      <w:r>
        <w:t>Use the self-assessment to identify documentation evidence for the Research Journal / Documentation grading category. The self-assessment supports teacher judgment; it is not the grade by itself.</w:t>
      </w:r>
    </w:p>
    <w:p>
      <w:pPr>
        <w:pStyle w:val="Heading3"/>
      </w:pPr>
      <w:r>
        <w:t>Day 5: Unit 3 Closure and Unit 4 Handoff</w:t>
      </w:r>
    </w:p>
    <w:p>
      <w:r>
        <w:t>Students submit the Unit 3 evidence snapshot: organized data/evidence, Handout 18, Handout 19, and any required recovery plan. Use Appendix T to preview the questions Unit 4 will answer. Students should leave knowing what evidence they have, what limitations they must carry forward, and what their first Unit 4 task will be.</w:t>
      </w:r>
    </w:p>
    <w:p>
      <w:r>
        <w:t>Close by reinforcing that honest limitations do not make a project unsuccessful. Unit 4 evaluates what the evidence can support, not what students hoped it would show.</w:t>
      </w:r>
    </w:p>
    <w:p>
      <w:pPr>
        <w:pStyle w:val="Heading2"/>
      </w:pPr>
      <w:r>
        <w:t>Readiness Decision Support</w:t>
      </w:r>
    </w:p>
    <w:tbl>
      <w:tblPr>
        <w:tblW w:type="dxa" w:w="9648"/>
        <w:tblLayout w:type="fixed"/>
        <w:tblLook w:firstColumn="1" w:firstRow="1" w:lastColumn="0" w:lastRow="0" w:noHBand="0" w:noVBand="1" w:val="04A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Ind w:w="100" w:type="dxa"/>
      </w:tblPr>
      <w:tblGrid>
        <w:gridCol w:w="1728"/>
        <w:gridCol w:w="4680"/>
        <w:gridCol w:w="3240"/>
      </w:tblGrid>
      <w:tr>
        <w:trPr>
          <w:tblHeader w:val="true"/>
          <w:cantSplit w:val="true"/>
        </w:trPr>
        <w:tc>
          <w:tcPr>
            <w:tcW w:type="dxa" w:w="1728"/>
            <w:shd w:fill="DCE6F1"/>
            <w:vAlign w:val="center"/>
            <w:tcMar>
              <w:top w:w="90" w:type="dxa"/>
              <w:start w:w="100" w:type="dxa"/>
              <w:bottom w:w="90" w:type="dxa"/>
              <w:end w:w="100" w:type="dxa"/>
            </w:tcMar>
          </w:tcPr>
          <w:p>
            <w:pPr>
              <w:spacing w:after="0"/>
              <w:jc w:val="center"/>
            </w:pPr>
            <w:r>
              <w:rPr>
                <w:rFonts w:ascii="Arial" w:hAnsi="Arial"/>
                <w:b/>
                <w:color w:val="111111"/>
                <w:sz w:val="17"/>
              </w:rPr>
              <w:t>Status</w:t>
            </w:r>
          </w:p>
        </w:tc>
        <w:tc>
          <w:tcPr>
            <w:tcW w:type="dxa" w:w="4680"/>
            <w:shd w:fill="DCE6F1"/>
            <w:vAlign w:val="center"/>
            <w:tcMar>
              <w:top w:w="90" w:type="dxa"/>
              <w:start w:w="100" w:type="dxa"/>
              <w:bottom w:w="90" w:type="dxa"/>
              <w:end w:w="100" w:type="dxa"/>
            </w:tcMar>
          </w:tcPr>
          <w:p>
            <w:pPr>
              <w:spacing w:after="0"/>
              <w:jc w:val="left"/>
            </w:pPr>
            <w:r>
              <w:rPr>
                <w:rFonts w:ascii="Arial" w:hAnsi="Arial"/>
                <w:b/>
                <w:color w:val="111111"/>
                <w:sz w:val="17"/>
              </w:rPr>
              <w:t>Evidence</w:t>
            </w:r>
          </w:p>
        </w:tc>
        <w:tc>
          <w:tcPr>
            <w:tcW w:type="dxa" w:w="3240"/>
            <w:shd w:fill="DCE6F1"/>
            <w:vAlign w:val="center"/>
            <w:tcMar>
              <w:top w:w="90" w:type="dxa"/>
              <w:start w:w="100" w:type="dxa"/>
              <w:bottom w:w="90" w:type="dxa"/>
              <w:end w:w="100" w:type="dxa"/>
            </w:tcMar>
          </w:tcPr>
          <w:p>
            <w:pPr>
              <w:spacing w:after="0"/>
              <w:jc w:val="left"/>
            </w:pPr>
            <w:r>
              <w:rPr>
                <w:rFonts w:ascii="Arial" w:hAnsi="Arial"/>
                <w:b/>
                <w:color w:val="111111"/>
                <w:sz w:val="17"/>
              </w:rPr>
              <w:t>Teacher Action</w:t>
            </w:r>
          </w:p>
        </w:tc>
      </w:tr>
      <w:tr>
        <w:trPr>
          <w:cantSplit w:val="true"/>
        </w:trPr>
        <w:tc>
          <w:tcPr>
            <w:tcW w:type="dxa" w:w="1728"/>
            <w:vAlign w:val="center"/>
            <w:tcMar>
              <w:top w:w="90" w:type="dxa"/>
              <w:start w:w="100" w:type="dxa"/>
              <w:bottom w:w="90" w:type="dxa"/>
              <w:end w:w="100" w:type="dxa"/>
            </w:tcMar>
          </w:tcPr>
          <w:p>
            <w:pPr>
              <w:spacing w:after="0"/>
              <w:jc w:val="center"/>
            </w:pPr>
            <w:r>
              <w:rPr>
                <w:rFonts w:ascii="Arial" w:hAnsi="Arial"/>
                <w:sz w:val="17"/>
              </w:rPr>
              <w:t>Ready</w:t>
            </w:r>
          </w:p>
        </w:tc>
        <w:tc>
          <w:tcPr>
            <w:tcW w:type="dxa" w:w="4680"/>
            <w:vAlign w:val="center"/>
            <w:tcMar>
              <w:top w:w="90" w:type="dxa"/>
              <w:start w:w="100" w:type="dxa"/>
              <w:bottom w:w="90" w:type="dxa"/>
              <w:end w:w="100" w:type="dxa"/>
            </w:tcMar>
          </w:tcPr>
          <w:p>
            <w:pPr>
              <w:spacing w:after="0"/>
              <w:jc w:val="left"/>
            </w:pPr>
            <w:r>
              <w:rPr>
                <w:rFonts w:ascii="Arial" w:hAnsi="Arial"/>
                <w:sz w:val="17"/>
              </w:rPr>
              <w:t>Raw evidence preserved; working copy organized; journal current; limitations identified.</w:t>
            </w:r>
          </w:p>
        </w:tc>
        <w:tc>
          <w:tcPr>
            <w:tcW w:type="dxa" w:w="3240"/>
            <w:vAlign w:val="center"/>
            <w:tcMar>
              <w:top w:w="90" w:type="dxa"/>
              <w:start w:w="100" w:type="dxa"/>
              <w:bottom w:w="90" w:type="dxa"/>
              <w:end w:w="100" w:type="dxa"/>
            </w:tcMar>
          </w:tcPr>
          <w:p>
            <w:pPr>
              <w:spacing w:after="0"/>
              <w:jc w:val="left"/>
            </w:pPr>
            <w:r>
              <w:rPr>
                <w:rFonts w:ascii="Arial" w:hAnsi="Arial"/>
                <w:sz w:val="17"/>
              </w:rPr>
              <w:t>Release the student to Unit 4 data cleaning and analysis planning.</w:t>
            </w:r>
          </w:p>
        </w:tc>
      </w:tr>
      <w:tr>
        <w:trPr>
          <w:cantSplit w:val="true"/>
        </w:trPr>
        <w:tc>
          <w:tcPr>
            <w:tcW w:type="dxa" w:w="1728"/>
            <w:vAlign w:val="center"/>
            <w:tcMar>
              <w:top w:w="90" w:type="dxa"/>
              <w:start w:w="100" w:type="dxa"/>
              <w:bottom w:w="90" w:type="dxa"/>
              <w:end w:w="100" w:type="dxa"/>
            </w:tcMar>
          </w:tcPr>
          <w:p>
            <w:pPr>
              <w:spacing w:after="0"/>
              <w:jc w:val="center"/>
            </w:pPr>
            <w:r>
              <w:rPr>
                <w:rFonts w:ascii="Arial" w:hAnsi="Arial"/>
                <w:sz w:val="17"/>
              </w:rPr>
              <w:t>Minor cleanup</w:t>
            </w:r>
          </w:p>
        </w:tc>
        <w:tc>
          <w:tcPr>
            <w:tcW w:type="dxa" w:w="4680"/>
            <w:vAlign w:val="center"/>
            <w:tcMar>
              <w:top w:w="90" w:type="dxa"/>
              <w:start w:w="100" w:type="dxa"/>
              <w:bottom w:w="90" w:type="dxa"/>
              <w:end w:w="100" w:type="dxa"/>
            </w:tcMar>
          </w:tcPr>
          <w:p>
            <w:pPr>
              <w:spacing w:after="0"/>
              <w:jc w:val="left"/>
            </w:pPr>
            <w:r>
              <w:rPr>
                <w:rFonts w:ascii="Arial" w:hAnsi="Arial"/>
                <w:sz w:val="17"/>
              </w:rPr>
              <w:t>Evidence exists but labels, files, units, or documentation need a short repair.</w:t>
            </w:r>
          </w:p>
        </w:tc>
        <w:tc>
          <w:tcPr>
            <w:tcW w:type="dxa" w:w="3240"/>
            <w:vAlign w:val="center"/>
            <w:tcMar>
              <w:top w:w="90" w:type="dxa"/>
              <w:start w:w="100" w:type="dxa"/>
              <w:bottom w:w="90" w:type="dxa"/>
              <w:end w:w="100" w:type="dxa"/>
            </w:tcMar>
          </w:tcPr>
          <w:p>
            <w:pPr>
              <w:spacing w:after="0"/>
              <w:jc w:val="left"/>
            </w:pPr>
            <w:r>
              <w:rPr>
                <w:rFonts w:ascii="Arial" w:hAnsi="Arial"/>
                <w:sz w:val="17"/>
              </w:rPr>
              <w:t>Assign a specific task and deadline; verify completion before formal analysis.</w:t>
            </w:r>
          </w:p>
        </w:tc>
      </w:tr>
      <w:tr>
        <w:trPr>
          <w:cantSplit w:val="true"/>
        </w:trPr>
        <w:tc>
          <w:tcPr>
            <w:tcW w:type="dxa" w:w="1728"/>
            <w:vAlign w:val="center"/>
            <w:tcMar>
              <w:top w:w="90" w:type="dxa"/>
              <w:start w:w="100" w:type="dxa"/>
              <w:bottom w:w="90" w:type="dxa"/>
              <w:end w:w="100" w:type="dxa"/>
            </w:tcMar>
          </w:tcPr>
          <w:p>
            <w:pPr>
              <w:spacing w:after="0"/>
              <w:jc w:val="center"/>
            </w:pPr>
            <w:r>
              <w:rPr>
                <w:rFonts w:ascii="Arial" w:hAnsi="Arial"/>
                <w:sz w:val="17"/>
              </w:rPr>
              <w:t>Limited-data pathway</w:t>
            </w:r>
          </w:p>
        </w:tc>
        <w:tc>
          <w:tcPr>
            <w:tcW w:type="dxa" w:w="4680"/>
            <w:vAlign w:val="center"/>
            <w:tcMar>
              <w:top w:w="90" w:type="dxa"/>
              <w:start w:w="100" w:type="dxa"/>
              <w:bottom w:w="90" w:type="dxa"/>
              <w:end w:w="100" w:type="dxa"/>
            </w:tcMar>
          </w:tcPr>
          <w:p>
            <w:pPr>
              <w:spacing w:after="0"/>
              <w:jc w:val="left"/>
            </w:pPr>
            <w:r>
              <w:rPr>
                <w:rFonts w:ascii="Arial" w:hAnsi="Arial"/>
                <w:sz w:val="17"/>
              </w:rPr>
              <w:t>The original scope is incomplete, but usable evidence documents a pilot, prototype, method, or feasibility question.</w:t>
            </w:r>
          </w:p>
        </w:tc>
        <w:tc>
          <w:tcPr>
            <w:tcW w:type="dxa" w:w="3240"/>
            <w:vAlign w:val="center"/>
            <w:tcMar>
              <w:top w:w="90" w:type="dxa"/>
              <w:start w:w="100" w:type="dxa"/>
              <w:bottom w:w="90" w:type="dxa"/>
              <w:end w:w="100" w:type="dxa"/>
            </w:tcMar>
          </w:tcPr>
          <w:p>
            <w:pPr>
              <w:spacing w:after="0"/>
              <w:jc w:val="left"/>
            </w:pPr>
            <w:r>
              <w:rPr>
                <w:rFonts w:ascii="Arial" w:hAnsi="Arial"/>
                <w:sz w:val="17"/>
              </w:rPr>
              <w:t>Approve an honest reframed analysis question and identify the evidence that may be used.</w:t>
            </w:r>
          </w:p>
        </w:tc>
      </w:tr>
      <w:tr>
        <w:trPr>
          <w:cantSplit w:val="true"/>
        </w:trPr>
        <w:tc>
          <w:tcPr>
            <w:tcW w:type="dxa" w:w="1728"/>
            <w:vAlign w:val="center"/>
            <w:tcMar>
              <w:top w:w="90" w:type="dxa"/>
              <w:start w:w="100" w:type="dxa"/>
              <w:bottom w:w="90" w:type="dxa"/>
              <w:end w:w="100" w:type="dxa"/>
            </w:tcMar>
          </w:tcPr>
          <w:p>
            <w:pPr>
              <w:spacing w:after="0"/>
              <w:jc w:val="center"/>
            </w:pPr>
            <w:r>
              <w:rPr>
                <w:rFonts w:ascii="Arial" w:hAnsi="Arial"/>
                <w:sz w:val="17"/>
              </w:rPr>
              <w:t>Conference required</w:t>
            </w:r>
          </w:p>
        </w:tc>
        <w:tc>
          <w:tcPr>
            <w:tcW w:type="dxa" w:w="4680"/>
            <w:vAlign w:val="center"/>
            <w:tcMar>
              <w:top w:w="90" w:type="dxa"/>
              <w:start w:w="100" w:type="dxa"/>
              <w:bottom w:w="90" w:type="dxa"/>
              <w:end w:w="100" w:type="dxa"/>
            </w:tcMar>
          </w:tcPr>
          <w:p>
            <w:pPr>
              <w:spacing w:after="0"/>
              <w:jc w:val="left"/>
            </w:pPr>
            <w:r>
              <w:rPr>
                <w:rFonts w:ascii="Arial" w:hAnsi="Arial"/>
                <w:sz w:val="17"/>
              </w:rPr>
              <w:t>Evidence location, integrity, scope, approval history, or documentation is unclear.</w:t>
            </w:r>
          </w:p>
        </w:tc>
        <w:tc>
          <w:tcPr>
            <w:tcW w:type="dxa" w:w="3240"/>
            <w:vAlign w:val="center"/>
            <w:tcMar>
              <w:top w:w="90" w:type="dxa"/>
              <w:start w:w="100" w:type="dxa"/>
              <w:bottom w:w="90" w:type="dxa"/>
              <w:end w:w="100" w:type="dxa"/>
            </w:tcMar>
          </w:tcPr>
          <w:p>
            <w:pPr>
              <w:spacing w:after="0"/>
              <w:jc w:val="left"/>
            </w:pPr>
            <w:r>
              <w:rPr>
                <w:rFonts w:ascii="Arial" w:hAnsi="Arial"/>
                <w:sz w:val="17"/>
              </w:rPr>
              <w:t>Pause analysis decisions until the student and teacher document the recovery path.</w:t>
            </w:r>
          </w:p>
        </w:tc>
      </w:tr>
    </w:tbl>
    <w:p>
      <w:pPr>
        <w:spacing w:after="20"/>
      </w:pPr>
    </w:p>
    <w:p>
      <w:pPr>
        <w:pStyle w:val="Heading2"/>
      </w:pPr>
      <w:r>
        <w:t>Week 16 Deliverables</w:t>
      </w:r>
    </w:p>
    <w:p>
      <w:pPr>
        <w:numPr>
          <w:ilvl w:val="0"/>
          <w:numId w:val="149"/>
        </w:numPr>
        <w:spacing w:after="40"/>
      </w:pPr>
      <w:r>
        <w:rPr>
          <w:rFonts w:ascii="Arial" w:hAnsi="Arial"/>
        </w:rPr>
        <w:t>Organized raw data folder or evidence archive</w:t>
      </w:r>
    </w:p>
    <w:p>
      <w:pPr>
        <w:numPr>
          <w:ilvl w:val="0"/>
          <w:numId w:val="150"/>
        </w:numPr>
        <w:spacing w:after="40"/>
      </w:pPr>
      <w:r>
        <w:rPr>
          <w:rFonts w:ascii="Arial" w:hAnsi="Arial"/>
        </w:rPr>
        <w:t>Clean working copy or organized analysis folder</w:t>
      </w:r>
    </w:p>
    <w:p>
      <w:pPr>
        <w:numPr>
          <w:ilvl w:val="0"/>
          <w:numId w:val="151"/>
        </w:numPr>
        <w:spacing w:after="40"/>
      </w:pPr>
      <w:r>
        <w:rPr>
          <w:rFonts w:ascii="Arial" w:hAnsi="Arial"/>
        </w:rPr>
        <w:t>Student Handout 18: Unit 3 Readiness for Analysis Review</w:t>
      </w:r>
    </w:p>
    <w:p>
      <w:pPr>
        <w:numPr>
          <w:ilvl w:val="0"/>
          <w:numId w:val="152"/>
        </w:numPr>
        <w:spacing w:after="40"/>
      </w:pPr>
      <w:r>
        <w:rPr>
          <w:rFonts w:ascii="Arial" w:hAnsi="Arial"/>
        </w:rPr>
        <w:t>Student Handout 19: Research Journal Self-Assessment</w:t>
      </w:r>
    </w:p>
    <w:p>
      <w:pPr>
        <w:numPr>
          <w:ilvl w:val="0"/>
          <w:numId w:val="153"/>
        </w:numPr>
        <w:spacing w:after="40"/>
      </w:pPr>
      <w:r>
        <w:rPr>
          <w:rFonts w:ascii="Arial" w:hAnsi="Arial"/>
        </w:rPr>
        <w:t>Updated research journal with current, truthful documentation</w:t>
      </w:r>
    </w:p>
    <w:p>
      <w:pPr>
        <w:numPr>
          <w:ilvl w:val="0"/>
          <w:numId w:val="154"/>
        </w:numPr>
        <w:spacing w:after="40"/>
      </w:pPr>
      <w:r>
        <w:rPr>
          <w:rFonts w:ascii="Arial" w:hAnsi="Arial"/>
        </w:rPr>
        <w:t>Recovery or limited-data plan when applicable</w:t>
      </w:r>
    </w:p>
    <w:p>
      <w:pPr>
        <w:pStyle w:val="Heading2"/>
      </w:pPr>
      <w:r>
        <w:t>Assessment Evidence</w:t>
      </w:r>
    </w:p>
    <w:p>
      <w:r>
        <w:t>Week 16 primarily provides evidence for Research Journal / Documentation and prepares evidence for Data Analysis and Interpretation. Evaluate organization, traceability, honesty, completeness, decision documentation, and readiness - not whether results support the original hypothesis.</w:t>
      </w:r>
    </w:p>
    <w:p>
      <w:pPr>
        <w:pStyle w:val="Heading2"/>
      </w:pPr>
      <w:r>
        <w:t>Differentiation and Implementation Notes</w:t>
      </w:r>
    </w:p>
    <w:p>
      <w:pPr>
        <w:numPr>
          <w:ilvl w:val="0"/>
          <w:numId w:val="155"/>
        </w:numPr>
        <w:spacing w:after="40"/>
      </w:pPr>
      <w:r>
        <w:rPr>
          <w:rFonts w:ascii="Arial" w:hAnsi="Arial"/>
        </w:rPr>
        <w:t>Students who are ahead may improve file naming, add metadata/captions, document uncertainty, or create a clear data dictionary. They should not begin unsupported statistical analysis simply to stay busy.</w:t>
      </w:r>
    </w:p>
    <w:p>
      <w:pPr>
        <w:numPr>
          <w:ilvl w:val="0"/>
          <w:numId w:val="156"/>
        </w:numPr>
        <w:spacing w:after="40"/>
      </w:pPr>
      <w:r>
        <w:rPr>
          <w:rFonts w:ascii="Arial" w:hAnsi="Arial"/>
        </w:rPr>
        <w:t>Students who are behind need short recovery goals such as locating one complete data set, labeling one table, or documenting one approved prototype comparison. Avoid the vague direction to 'catch up.'</w:t>
      </w:r>
    </w:p>
    <w:p>
      <w:pPr>
        <w:numPr>
          <w:ilvl w:val="0"/>
          <w:numId w:val="157"/>
        </w:numPr>
        <w:spacing w:after="40"/>
      </w:pPr>
      <w:r>
        <w:rPr>
          <w:rFonts w:ascii="Arial" w:hAnsi="Arial"/>
        </w:rPr>
        <w:t>Students with limited evidence may use a pilot-study, feasibility, method-development, prototype-failure, or preliminary-data frame when it accurately represents the work.</w:t>
      </w:r>
    </w:p>
    <w:p>
      <w:pPr>
        <w:numPr>
          <w:ilvl w:val="0"/>
          <w:numId w:val="158"/>
        </w:numPr>
        <w:spacing w:after="40"/>
      </w:pPr>
      <w:r>
        <w:rPr>
          <w:rFonts w:ascii="Arial" w:hAnsi="Arial"/>
        </w:rPr>
        <w:t>Accessibility supports may include voice-to-text reflection, photo-based documentation with captions, teacher scribing during a conference, structured file templates, or an oral readiness review paired with the written evidence checklist.</w:t>
      </w:r>
    </w:p>
    <w:p>
      <w:pPr>
        <w:pStyle w:val="Heading2"/>
      </w:pPr>
      <w:r>
        <w:t>Teacher Notes</w:t>
      </w:r>
    </w:p>
    <w:p>
      <w:r>
        <w:t>Do not use Week 16 to rescue every original plan through rushed or unapproved testing. A smaller, truthful evidence set is more scientifically defensible than a larger set created without adequate controls, documentation, or approval. Preserve student records according to school privacy and retention expectations, especially when projects involve participants, images, location data, or other sensitive information.</w:t>
      </w:r>
    </w:p>
    <w:p>
      <w:r>
        <w:t>Before Unit 4 begins, every student should have a documented readiness outcome and know where the evidence for analysis is stored.</w:t>
      </w:r>
    </w:p>
    <w:sectPr>
      <w:pgSz w:h="15840" w:w="12240" w:orient="portrait"/>
      <w:pgMar w:bottom="720"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abstractNum w:abstractNumId="123">
    <w:multiLevelType w:val="singleLevel"/>
    <w:lvl w:ilvl="0">
      <w:start w:val="1"/>
      <w:numFmt w:val="bullet"/>
      <w:lvlText w:val="•"/>
      <w:pPr>
        <w:tabs>
          <w:tab w:val="num" w:pos="420"/>
        </w:tabs>
        <w:ind w:left="420" w:hanging="220"/>
      </w:pPr>
    </w:lvl>
  </w:abstractNum>
  <w:num w:numId="123">
    <w:abstractNumId w:val="123"/>
  </w:num>
  <w:abstractNum w:abstractNumId="124">
    <w:multiLevelType w:val="singleLevel"/>
    <w:lvl w:ilvl="0">
      <w:start w:val="1"/>
      <w:numFmt w:val="bullet"/>
      <w:lvlText w:val="•"/>
      <w:pPr>
        <w:tabs>
          <w:tab w:val="num" w:pos="420"/>
        </w:tabs>
        <w:ind w:left="420" w:hanging="220"/>
      </w:pPr>
    </w:lvl>
  </w:abstractNum>
  <w:num w:numId="124">
    <w:abstractNumId w:val="124"/>
  </w:num>
  <w:abstractNum w:abstractNumId="125">
    <w:multiLevelType w:val="singleLevel"/>
    <w:lvl w:ilvl="0">
      <w:start w:val="1"/>
      <w:numFmt w:val="bullet"/>
      <w:lvlText w:val="•"/>
      <w:pPr>
        <w:tabs>
          <w:tab w:val="num" w:pos="420"/>
        </w:tabs>
        <w:ind w:left="420" w:hanging="220"/>
      </w:pPr>
    </w:lvl>
  </w:abstractNum>
  <w:num w:numId="125">
    <w:abstractNumId w:val="125"/>
  </w:num>
  <w:abstractNum w:abstractNumId="126">
    <w:multiLevelType w:val="singleLevel"/>
    <w:lvl w:ilvl="0">
      <w:start w:val="1"/>
      <w:numFmt w:val="bullet"/>
      <w:lvlText w:val="•"/>
      <w:pPr>
        <w:tabs>
          <w:tab w:val="num" w:pos="420"/>
        </w:tabs>
        <w:ind w:left="420" w:hanging="220"/>
      </w:pPr>
    </w:lvl>
  </w:abstractNum>
  <w:num w:numId="126">
    <w:abstractNumId w:val="126"/>
  </w:num>
  <w:abstractNum w:abstractNumId="127">
    <w:multiLevelType w:val="singleLevel"/>
    <w:lvl w:ilvl="0">
      <w:start w:val="1"/>
      <w:numFmt w:val="bullet"/>
      <w:lvlText w:val="•"/>
      <w:pPr>
        <w:tabs>
          <w:tab w:val="num" w:pos="420"/>
        </w:tabs>
        <w:ind w:left="420" w:hanging="220"/>
      </w:pPr>
    </w:lvl>
  </w:abstractNum>
  <w:num w:numId="127">
    <w:abstractNumId w:val="127"/>
  </w:num>
  <w:abstractNum w:abstractNumId="128">
    <w:multiLevelType w:val="singleLevel"/>
    <w:lvl w:ilvl="0">
      <w:start w:val="1"/>
      <w:numFmt w:val="bullet"/>
      <w:lvlText w:val="•"/>
      <w:pPr>
        <w:tabs>
          <w:tab w:val="num" w:pos="420"/>
        </w:tabs>
        <w:ind w:left="420" w:hanging="220"/>
      </w:pPr>
    </w:lvl>
  </w:abstractNum>
  <w:num w:numId="128">
    <w:abstractNumId w:val="128"/>
  </w:num>
  <w:abstractNum w:abstractNumId="129">
    <w:multiLevelType w:val="singleLevel"/>
    <w:lvl w:ilvl="0">
      <w:start w:val="1"/>
      <w:numFmt w:val="bullet"/>
      <w:lvlText w:val="•"/>
      <w:pPr>
        <w:tabs>
          <w:tab w:val="num" w:pos="420"/>
        </w:tabs>
        <w:ind w:left="420" w:hanging="220"/>
      </w:pPr>
    </w:lvl>
  </w:abstractNum>
  <w:num w:numId="129">
    <w:abstractNumId w:val="129"/>
  </w:num>
  <w:abstractNum w:abstractNumId="130">
    <w:multiLevelType w:val="singleLevel"/>
    <w:lvl w:ilvl="0">
      <w:start w:val="1"/>
      <w:numFmt w:val="bullet"/>
      <w:lvlText w:val="•"/>
      <w:pPr>
        <w:tabs>
          <w:tab w:val="num" w:pos="420"/>
        </w:tabs>
        <w:ind w:left="420" w:hanging="220"/>
      </w:pPr>
    </w:lvl>
  </w:abstractNum>
  <w:num w:numId="130">
    <w:abstractNumId w:val="130"/>
  </w:num>
  <w:abstractNum w:abstractNumId="131">
    <w:multiLevelType w:val="singleLevel"/>
    <w:lvl w:ilvl="0">
      <w:start w:val="1"/>
      <w:numFmt w:val="bullet"/>
      <w:lvlText w:val="•"/>
      <w:pPr>
        <w:tabs>
          <w:tab w:val="num" w:pos="420"/>
        </w:tabs>
        <w:ind w:left="420" w:hanging="220"/>
      </w:pPr>
    </w:lvl>
  </w:abstractNum>
  <w:num w:numId="131">
    <w:abstractNumId w:val="131"/>
  </w:num>
  <w:abstractNum w:abstractNumId="132">
    <w:multiLevelType w:val="singleLevel"/>
    <w:lvl w:ilvl="0">
      <w:start w:val="1"/>
      <w:numFmt w:val="bullet"/>
      <w:lvlText w:val="•"/>
      <w:pPr>
        <w:tabs>
          <w:tab w:val="num" w:pos="420"/>
        </w:tabs>
        <w:ind w:left="420" w:hanging="220"/>
      </w:pPr>
    </w:lvl>
  </w:abstractNum>
  <w:num w:numId="132">
    <w:abstractNumId w:val="132"/>
  </w:num>
  <w:abstractNum w:abstractNumId="133">
    <w:multiLevelType w:val="singleLevel"/>
    <w:lvl w:ilvl="0">
      <w:start w:val="1"/>
      <w:numFmt w:val="bullet"/>
      <w:lvlText w:val="•"/>
      <w:pPr>
        <w:tabs>
          <w:tab w:val="num" w:pos="420"/>
        </w:tabs>
        <w:ind w:left="420" w:hanging="220"/>
      </w:pPr>
    </w:lvl>
  </w:abstractNum>
  <w:num w:numId="133">
    <w:abstractNumId w:val="133"/>
  </w:num>
  <w:abstractNum w:abstractNumId="134">
    <w:multiLevelType w:val="singleLevel"/>
    <w:lvl w:ilvl="0">
      <w:start w:val="1"/>
      <w:numFmt w:val="bullet"/>
      <w:lvlText w:val="•"/>
      <w:pPr>
        <w:tabs>
          <w:tab w:val="num" w:pos="420"/>
        </w:tabs>
        <w:ind w:left="420" w:hanging="220"/>
      </w:pPr>
    </w:lvl>
  </w:abstractNum>
  <w:num w:numId="134">
    <w:abstractNumId w:val="134"/>
  </w:num>
  <w:abstractNum w:abstractNumId="135">
    <w:multiLevelType w:val="singleLevel"/>
    <w:lvl w:ilvl="0">
      <w:start w:val="1"/>
      <w:numFmt w:val="bullet"/>
      <w:lvlText w:val="•"/>
      <w:pPr>
        <w:tabs>
          <w:tab w:val="num" w:pos="420"/>
        </w:tabs>
        <w:ind w:left="420" w:hanging="220"/>
      </w:pPr>
    </w:lvl>
  </w:abstractNum>
  <w:num w:numId="135">
    <w:abstractNumId w:val="135"/>
  </w:num>
  <w:abstractNum w:abstractNumId="136">
    <w:multiLevelType w:val="singleLevel"/>
    <w:lvl w:ilvl="0">
      <w:start w:val="1"/>
      <w:numFmt w:val="bullet"/>
      <w:lvlText w:val="•"/>
      <w:pPr>
        <w:tabs>
          <w:tab w:val="num" w:pos="420"/>
        </w:tabs>
        <w:ind w:left="420" w:hanging="220"/>
      </w:pPr>
    </w:lvl>
  </w:abstractNum>
  <w:num w:numId="136">
    <w:abstractNumId w:val="136"/>
  </w:num>
  <w:abstractNum w:abstractNumId="137">
    <w:multiLevelType w:val="singleLevel"/>
    <w:lvl w:ilvl="0">
      <w:start w:val="1"/>
      <w:numFmt w:val="bullet"/>
      <w:lvlText w:val="•"/>
      <w:pPr>
        <w:tabs>
          <w:tab w:val="num" w:pos="420"/>
        </w:tabs>
        <w:ind w:left="420" w:hanging="220"/>
      </w:pPr>
    </w:lvl>
  </w:abstractNum>
  <w:num w:numId="137">
    <w:abstractNumId w:val="137"/>
  </w:num>
  <w:abstractNum w:abstractNumId="138">
    <w:multiLevelType w:val="singleLevel"/>
    <w:lvl w:ilvl="0">
      <w:start w:val="1"/>
      <w:numFmt w:val="bullet"/>
      <w:lvlText w:val="•"/>
      <w:pPr>
        <w:tabs>
          <w:tab w:val="num" w:pos="420"/>
        </w:tabs>
        <w:ind w:left="420" w:hanging="220"/>
      </w:pPr>
    </w:lvl>
  </w:abstractNum>
  <w:num w:numId="138">
    <w:abstractNumId w:val="138"/>
  </w:num>
  <w:abstractNum w:abstractNumId="139">
    <w:multiLevelType w:val="singleLevel"/>
    <w:lvl w:ilvl="0">
      <w:start w:val="1"/>
      <w:numFmt w:val="bullet"/>
      <w:lvlText w:val="•"/>
      <w:pPr>
        <w:tabs>
          <w:tab w:val="num" w:pos="420"/>
        </w:tabs>
        <w:ind w:left="420" w:hanging="220"/>
      </w:pPr>
    </w:lvl>
  </w:abstractNum>
  <w:num w:numId="139">
    <w:abstractNumId w:val="139"/>
  </w:num>
  <w:abstractNum w:abstractNumId="140">
    <w:multiLevelType w:val="singleLevel"/>
    <w:lvl w:ilvl="0">
      <w:start w:val="1"/>
      <w:numFmt w:val="bullet"/>
      <w:lvlText w:val="•"/>
      <w:pPr>
        <w:tabs>
          <w:tab w:val="num" w:pos="420"/>
        </w:tabs>
        <w:ind w:left="420" w:hanging="220"/>
      </w:pPr>
    </w:lvl>
  </w:abstractNum>
  <w:num w:numId="140">
    <w:abstractNumId w:val="140"/>
  </w:num>
  <w:abstractNum w:abstractNumId="141">
    <w:multiLevelType w:val="singleLevel"/>
    <w:lvl w:ilvl="0">
      <w:start w:val="1"/>
      <w:numFmt w:val="bullet"/>
      <w:lvlText w:val="•"/>
      <w:pPr>
        <w:tabs>
          <w:tab w:val="num" w:pos="420"/>
        </w:tabs>
        <w:ind w:left="420" w:hanging="220"/>
      </w:pPr>
    </w:lvl>
  </w:abstractNum>
  <w:num w:numId="141">
    <w:abstractNumId w:val="141"/>
  </w:num>
  <w:abstractNum w:abstractNumId="142">
    <w:multiLevelType w:val="singleLevel"/>
    <w:lvl w:ilvl="0">
      <w:start w:val="1"/>
      <w:numFmt w:val="bullet"/>
      <w:lvlText w:val="•"/>
      <w:pPr>
        <w:tabs>
          <w:tab w:val="num" w:pos="420"/>
        </w:tabs>
        <w:ind w:left="420" w:hanging="220"/>
      </w:pPr>
    </w:lvl>
  </w:abstractNum>
  <w:num w:numId="142">
    <w:abstractNumId w:val="142"/>
  </w:num>
  <w:abstractNum w:abstractNumId="143">
    <w:multiLevelType w:val="singleLevel"/>
    <w:lvl w:ilvl="0">
      <w:start w:val="1"/>
      <w:numFmt w:val="bullet"/>
      <w:lvlText w:val="•"/>
      <w:pPr>
        <w:tabs>
          <w:tab w:val="num" w:pos="420"/>
        </w:tabs>
        <w:ind w:left="420" w:hanging="220"/>
      </w:pPr>
    </w:lvl>
  </w:abstractNum>
  <w:num w:numId="143">
    <w:abstractNumId w:val="143"/>
  </w:num>
  <w:abstractNum w:abstractNumId="144">
    <w:multiLevelType w:val="singleLevel"/>
    <w:lvl w:ilvl="0">
      <w:start w:val="1"/>
      <w:numFmt w:val="bullet"/>
      <w:lvlText w:val="•"/>
      <w:pPr>
        <w:tabs>
          <w:tab w:val="num" w:pos="420"/>
        </w:tabs>
        <w:ind w:left="420" w:hanging="220"/>
      </w:pPr>
    </w:lvl>
  </w:abstractNum>
  <w:num w:numId="144">
    <w:abstractNumId w:val="144"/>
  </w:num>
  <w:abstractNum w:abstractNumId="145">
    <w:multiLevelType w:val="singleLevel"/>
    <w:lvl w:ilvl="0">
      <w:start w:val="1"/>
      <w:numFmt w:val="bullet"/>
      <w:lvlText w:val="•"/>
      <w:pPr>
        <w:tabs>
          <w:tab w:val="num" w:pos="420"/>
        </w:tabs>
        <w:ind w:left="420" w:hanging="220"/>
      </w:pPr>
    </w:lvl>
  </w:abstractNum>
  <w:num w:numId="145">
    <w:abstractNumId w:val="145"/>
  </w:num>
  <w:abstractNum w:abstractNumId="146">
    <w:multiLevelType w:val="singleLevel"/>
    <w:lvl w:ilvl="0">
      <w:start w:val="1"/>
      <w:numFmt w:val="bullet"/>
      <w:lvlText w:val="•"/>
      <w:pPr>
        <w:tabs>
          <w:tab w:val="num" w:pos="420"/>
        </w:tabs>
        <w:ind w:left="420" w:hanging="220"/>
      </w:pPr>
    </w:lvl>
  </w:abstractNum>
  <w:num w:numId="146">
    <w:abstractNumId w:val="146"/>
  </w:num>
  <w:abstractNum w:abstractNumId="147">
    <w:multiLevelType w:val="singleLevel"/>
    <w:lvl w:ilvl="0">
      <w:start w:val="1"/>
      <w:numFmt w:val="bullet"/>
      <w:lvlText w:val="•"/>
      <w:pPr>
        <w:tabs>
          <w:tab w:val="num" w:pos="420"/>
        </w:tabs>
        <w:ind w:left="420" w:hanging="220"/>
      </w:pPr>
    </w:lvl>
  </w:abstractNum>
  <w:num w:numId="147">
    <w:abstractNumId w:val="147"/>
  </w:num>
  <w:abstractNum w:abstractNumId="148">
    <w:multiLevelType w:val="singleLevel"/>
    <w:lvl w:ilvl="0">
      <w:start w:val="1"/>
      <w:numFmt w:val="bullet"/>
      <w:lvlText w:val="•"/>
      <w:pPr>
        <w:tabs>
          <w:tab w:val="num" w:pos="420"/>
        </w:tabs>
        <w:ind w:left="420" w:hanging="220"/>
      </w:pPr>
    </w:lvl>
  </w:abstractNum>
  <w:num w:numId="148">
    <w:abstractNumId w:val="148"/>
  </w:num>
  <w:abstractNum w:abstractNumId="149">
    <w:multiLevelType w:val="singleLevel"/>
    <w:lvl w:ilvl="0">
      <w:start w:val="1"/>
      <w:numFmt w:val="bullet"/>
      <w:lvlText w:val="•"/>
      <w:pPr>
        <w:tabs>
          <w:tab w:val="num" w:pos="420"/>
        </w:tabs>
        <w:ind w:left="420" w:hanging="220"/>
      </w:pPr>
    </w:lvl>
  </w:abstractNum>
  <w:num w:numId="149">
    <w:abstractNumId w:val="149"/>
  </w:num>
  <w:abstractNum w:abstractNumId="150">
    <w:multiLevelType w:val="singleLevel"/>
    <w:lvl w:ilvl="0">
      <w:start w:val="1"/>
      <w:numFmt w:val="bullet"/>
      <w:lvlText w:val="•"/>
      <w:pPr>
        <w:tabs>
          <w:tab w:val="num" w:pos="420"/>
        </w:tabs>
        <w:ind w:left="420" w:hanging="220"/>
      </w:pPr>
    </w:lvl>
  </w:abstractNum>
  <w:num w:numId="150">
    <w:abstractNumId w:val="150"/>
  </w:num>
  <w:abstractNum w:abstractNumId="151">
    <w:multiLevelType w:val="singleLevel"/>
    <w:lvl w:ilvl="0">
      <w:start w:val="1"/>
      <w:numFmt w:val="bullet"/>
      <w:lvlText w:val="•"/>
      <w:pPr>
        <w:tabs>
          <w:tab w:val="num" w:pos="420"/>
        </w:tabs>
        <w:ind w:left="420" w:hanging="220"/>
      </w:pPr>
    </w:lvl>
  </w:abstractNum>
  <w:num w:numId="151">
    <w:abstractNumId w:val="151"/>
  </w:num>
  <w:abstractNum w:abstractNumId="152">
    <w:multiLevelType w:val="singleLevel"/>
    <w:lvl w:ilvl="0">
      <w:start w:val="1"/>
      <w:numFmt w:val="bullet"/>
      <w:lvlText w:val="•"/>
      <w:pPr>
        <w:tabs>
          <w:tab w:val="num" w:pos="420"/>
        </w:tabs>
        <w:ind w:left="420" w:hanging="220"/>
      </w:pPr>
    </w:lvl>
  </w:abstractNum>
  <w:num w:numId="152">
    <w:abstractNumId w:val="152"/>
  </w:num>
  <w:abstractNum w:abstractNumId="153">
    <w:multiLevelType w:val="singleLevel"/>
    <w:lvl w:ilvl="0">
      <w:start w:val="1"/>
      <w:numFmt w:val="bullet"/>
      <w:lvlText w:val="•"/>
      <w:pPr>
        <w:tabs>
          <w:tab w:val="num" w:pos="420"/>
        </w:tabs>
        <w:ind w:left="420" w:hanging="220"/>
      </w:pPr>
    </w:lvl>
  </w:abstractNum>
  <w:num w:numId="153">
    <w:abstractNumId w:val="153"/>
  </w:num>
  <w:abstractNum w:abstractNumId="154">
    <w:multiLevelType w:val="singleLevel"/>
    <w:lvl w:ilvl="0">
      <w:start w:val="1"/>
      <w:numFmt w:val="bullet"/>
      <w:lvlText w:val="•"/>
      <w:pPr>
        <w:tabs>
          <w:tab w:val="num" w:pos="420"/>
        </w:tabs>
        <w:ind w:left="420" w:hanging="220"/>
      </w:pPr>
    </w:lvl>
  </w:abstractNum>
  <w:num w:numId="154">
    <w:abstractNumId w:val="154"/>
  </w:num>
  <w:abstractNum w:abstractNumId="155">
    <w:multiLevelType w:val="singleLevel"/>
    <w:lvl w:ilvl="0">
      <w:start w:val="1"/>
      <w:numFmt w:val="bullet"/>
      <w:lvlText w:val="•"/>
      <w:pPr>
        <w:tabs>
          <w:tab w:val="num" w:pos="420"/>
        </w:tabs>
        <w:ind w:left="420" w:hanging="220"/>
      </w:pPr>
    </w:lvl>
  </w:abstractNum>
  <w:num w:numId="155">
    <w:abstractNumId w:val="155"/>
  </w:num>
  <w:abstractNum w:abstractNumId="156">
    <w:multiLevelType w:val="singleLevel"/>
    <w:lvl w:ilvl="0">
      <w:start w:val="1"/>
      <w:numFmt w:val="bullet"/>
      <w:lvlText w:val="•"/>
      <w:pPr>
        <w:tabs>
          <w:tab w:val="num" w:pos="420"/>
        </w:tabs>
        <w:ind w:left="420" w:hanging="220"/>
      </w:pPr>
    </w:lvl>
  </w:abstractNum>
  <w:num w:numId="156">
    <w:abstractNumId w:val="156"/>
  </w:num>
  <w:abstractNum w:abstractNumId="157">
    <w:multiLevelType w:val="singleLevel"/>
    <w:lvl w:ilvl="0">
      <w:start w:val="1"/>
      <w:numFmt w:val="bullet"/>
      <w:lvlText w:val="•"/>
      <w:pPr>
        <w:tabs>
          <w:tab w:val="num" w:pos="420"/>
        </w:tabs>
        <w:ind w:left="420" w:hanging="220"/>
      </w:pPr>
    </w:lvl>
  </w:abstractNum>
  <w:num w:numId="157">
    <w:abstractNumId w:val="157"/>
  </w:num>
  <w:abstractNum w:abstractNumId="158">
    <w:multiLevelType w:val="singleLevel"/>
    <w:lvl w:ilvl="0">
      <w:start w:val="1"/>
      <w:numFmt w:val="bullet"/>
      <w:lvlText w:val="•"/>
      <w:pPr>
        <w:tabs>
          <w:tab w:val="num" w:pos="420"/>
        </w:tabs>
        <w:ind w:left="420" w:hanging="220"/>
      </w:pPr>
    </w:lvl>
  </w:abstractNum>
  <w:num w:numId="158">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rial" w:hAnsi="Arial"/>
      <w:sz w:val="21"/>
    </w:rPr>
  </w:style>
  <w:style w:type="paragraph" w:styleId="Heading1">
    <w:name w:val="heading 1"/>
    <w:basedOn w:val="Normal"/>
    <w:next w:val="Normal"/>
    <w:pPr>
      <w:keepNext/>
      <w:keepLines w:val="1"/>
      <w:pageBreakBefore w:val="0"/>
      <w:spacing w:after="60" w:before="180" w:lineRule="auto"/>
    </w:pPr>
    <w:rPr>
      <w:rFonts w:ascii="Arial" w:hAnsi="Arial"/>
      <w:b/>
      <w:color w:val="111111"/>
      <w:sz w:val="32"/>
      <w:szCs w:val="40"/>
    </w:rPr>
  </w:style>
  <w:style w:type="paragraph" w:styleId="Heading2">
    <w:name w:val="heading 2"/>
    <w:basedOn w:val="Normal"/>
    <w:next w:val="Normal"/>
    <w:pPr>
      <w:keepNext/>
      <w:keepLines w:val="1"/>
      <w:pageBreakBefore w:val="0"/>
      <w:spacing w:after="60" w:before="180" w:lineRule="auto"/>
    </w:pPr>
    <w:rPr>
      <w:rFonts w:ascii="Arial" w:hAnsi="Arial"/>
      <w:b/>
      <w:bCs w:val="0"/>
      <w:color w:val="4F81BD"/>
      <w:sz w:val="26"/>
      <w:szCs w:val="32"/>
    </w:rPr>
  </w:style>
  <w:style w:type="paragraph" w:styleId="Heading3">
    <w:name w:val="heading 3"/>
    <w:basedOn w:val="Normal"/>
    <w:next w:val="Normal"/>
    <w:pPr>
      <w:keepNext/>
      <w:keepLines w:val="1"/>
      <w:pageBreakBefore w:val="0"/>
      <w:spacing w:after="60" w:before="180" w:lineRule="auto"/>
    </w:pPr>
    <w:rPr>
      <w:rFonts w:ascii="Arial" w:hAnsi="Arial"/>
      <w:b/>
      <w:bCs w:val="0"/>
      <w:color w:val="111111"/>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Week 16: Unit 3 Closure and Readiness for Analysis</dc:title>
  <cp:lastModifiedBy>python-docx</cp:lastModifiedBy>
  <cp:revision>1</cp:revision>
  <dcterms:modified xsi:type="dcterms:W3CDTF">2026-07-16T01:21:45Z</dcterms:modified>
  <dc:subject>STARLAB Unit 3 teaching guide</dc:subject>
  <dc:creator>STARLAB</dc:creator>
  <cp:keywords>STARLAB, Unit 3, Week 16, readiness for analysis, data organization, research journal, transition to Unit 4</cp:keywords>
  <dc:description>STARLAB curriculum document</dc:description>
  <cp:category>Curriculum</cp:category>
</cp:coreProperties>
</file>