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Appendix E: Variables and Controls Guide</w:t>
      </w:r>
    </w:p>
    <w:p>
      <w:pPr>
        <w:jc w:val="center"/>
      </w:pPr>
      <w:r>
        <w:rPr>
          <w:i/>
        </w:rPr>
        <w:t>Unit 5 Appendix</w:t>
      </w:r>
    </w:p>
    <w:p/>
    <w:p>
      <w:r>
        <w:t>Independent Variable</w:t>
      </w:r>
    </w:p>
    <w:p>
      <w:r>
        <w:t>The factor intentionally changed by the researcher.</w:t>
      </w:r>
    </w:p>
    <w:p>
      <w:r>
        <w:t>Dependent Variable</w:t>
      </w:r>
    </w:p>
    <w:p>
      <w:r>
        <w:t>The factor measured as the outcome.</w:t>
      </w:r>
    </w:p>
    <w:p>
      <w:r>
        <w:t>Controlled Variables</w:t>
      </w:r>
    </w:p>
    <w:p>
      <w:r>
        <w:t>Factors kept the same so the test is fair.</w:t>
      </w:r>
    </w:p>
    <w:p>
      <w:r>
        <w:t>Control Group</w:t>
      </w:r>
    </w:p>
    <w:p>
      <w:r>
        <w:t>A comparison group that does not receive the treatment or change being tested.</w:t>
      </w:r>
    </w:p>
    <w:p>
      <w:r>
        <w:t>Constants</w:t>
      </w:r>
    </w:p>
    <w:p>
      <w:r>
        <w:t>Conditions that remain the same throughout the experiment.</w:t>
      </w:r>
    </w:p>
    <w:p>
      <w:r>
        <w:t>Engineering Design Criteria</w:t>
      </w:r>
    </w:p>
    <w:p>
      <w:r>
        <w:t>The standards used to judge whether a design is successful.</w:t>
      </w:r>
    </w:p>
    <w:p>
      <w:r>
        <w:t>Engineering Constraints</w:t>
      </w:r>
    </w:p>
    <w:p>
      <w:r>
        <w:t>Limits on the design, such as cost, size, time, materials, safety, or available tools.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