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K: Report Formatting Guide</w:t>
      </w:r>
    </w:p>
    <w:p>
      <w:pPr>
        <w:jc w:val="center"/>
      </w:pPr>
      <w:r>
        <w:rPr>
          <w:i/>
        </w:rPr>
        <w:t>Unit 5 Appendix</w:t>
      </w:r>
    </w:p>
    <w:p/>
    <w:p>
      <w:r>
        <w:t>Teachers may adjust formatting requirements to match school expectations.</w:t>
      </w:r>
    </w:p>
    <w:p>
      <w:pPr>
        <w:pStyle w:val="Heading3"/>
      </w:pPr>
      <w:r>
        <w:t>Recommended formatting:</w:t>
      </w:r>
    </w:p>
    <w:p>
      <w:r>
        <w:t>11- or 12-point readable font</w:t>
      </w:r>
    </w:p>
    <w:p>
      <w:pPr>
        <w:pStyle w:val="ListNumber"/>
      </w:pPr>
      <w:r>
        <w:t>1.15 or double spacing</w:t>
      </w:r>
    </w:p>
    <w:p>
      <w:r>
        <w:t>Clear section headings</w:t>
      </w:r>
    </w:p>
    <w:p>
      <w:r>
        <w:t>Page numbers</w:t>
      </w:r>
    </w:p>
    <w:p>
      <w:r>
        <w:t>Figures and tables placed near the text that discusses them</w:t>
      </w:r>
    </w:p>
    <w:p>
      <w:r>
        <w:t>Captions below figures and above or below tables, depending on teacher preference</w:t>
      </w:r>
    </w:p>
    <w:p>
      <w:r>
        <w:t>Consistent citation format if citations are required</w:t>
      </w:r>
    </w:p>
    <w:p>
      <w:pPr>
        <w:pStyle w:val="Heading3"/>
      </w:pPr>
      <w:r>
        <w:t>Recommended report length:</w:t>
      </w:r>
    </w:p>
    <w:p>
      <w:r>
        <w:t>Standard report: 4–8 pages excluding appendices</w:t>
      </w:r>
    </w:p>
    <w:p>
      <w:r>
        <w:t>Short report: 2–4 pages excluding appendices</w:t>
      </w:r>
    </w:p>
    <w:p>
      <w:r>
        <w:t>Advanced report: 8–12 pages excluding appendices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