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Appendix R: Teacher Implementation Notes for New STARLAB Chapters</w:t>
      </w:r>
    </w:p>
    <w:p>
      <w:pPr>
        <w:jc w:val="center"/>
      </w:pPr>
      <w:r>
        <w:rPr>
          <w:i/>
        </w:rPr>
        <w:t>Unit 5 Appendix</w:t>
      </w:r>
    </w:p>
    <w:p/>
    <w:p>
      <w:r>
        <w:t>Supporting Students With Different Project Types</w:t>
      </w:r>
    </w:p>
    <w:p>
      <w:r>
        <w:t>STARLAB projects may vary widely. A biology project, engineering prototype, computational model, psychology survey, and materials science test may not all fit the same template perfectly. Teachers should preserve the core expectations while allowing flexibility.</w:t>
      </w:r>
    </w:p>
    <w:p>
      <w:r>
        <w:t>For experimental science projects, emphasize variables, controls, trials, measurement, and uncertainty.</w:t>
      </w:r>
    </w:p>
    <w:p>
      <w:r>
        <w:t>For engineering design projects, emphasize criteria, constraints, prototype iterations, testing, performance metrics, and redesign.</w:t>
      </w:r>
    </w:p>
    <w:p>
      <w:r>
        <w:t>For computational projects, emphasize data sources, algorithms, assumptions, validation, and limitations.</w:t>
      </w:r>
    </w:p>
    <w:p>
      <w:r>
        <w:t>For observational or survey-based projects, emphasize sampling, ethics, question design, data reliability, and limitations.</w:t>
      </w:r>
    </w:p>
    <w:p>
      <w:r>
        <w:t>Managing Uneven Progress</w:t>
      </w:r>
    </w:p>
    <w:p>
      <w:r>
        <w:t>Some students may enter Unit 5 with complete data. Others may still be collecting or cleaning data. Teachers can manage this by having all students begin writing the introduction and methods while allowing flexible deadlines for results and discussion.</w:t>
      </w:r>
    </w:p>
    <w:p>
      <w:r>
        <w:t>Students without final data can write placeholder results plans, draft figure templates, or create mock graphs clearly labeled as planning tools, not final evidence.</w:t>
      </w:r>
    </w:p>
    <w:p>
      <w:r>
        <w:t>Working With Mentors</w:t>
      </w:r>
    </w:p>
    <w:p>
      <w:r>
        <w:t>If students have outside mentors, Week 26 or Week 27 is an ideal time to request mentor feedback. Teachers may send mentors a short message asking them to review only specific areas, such as methods accuracy or interpretation, rather than the entire report.</w:t>
      </w:r>
    </w:p>
    <w:p>
      <w:pPr>
        <w:pStyle w:val="Heading3"/>
      </w:pPr>
      <w:r>
        <w:t>Suggested mentor feedback request:</w:t>
      </w:r>
    </w:p>
    <w:p>
      <w:r>
        <w:t>“Thank you for supporting this student’s STARLAB project. The student is currently preparing a formal research report and presentation. If possible, please review the attached draft with special attention to scientific accuracy, methods clarity, interpretation of results, and any limitations the student should address.”</w:t>
      </w:r>
    </w:p>
    <w:p>
      <w:r>
        <w:t>Preparing for a Public Showcase</w:t>
      </w:r>
    </w:p>
    <w:p>
      <w:r>
        <w:t>If the unit leads into a public showcase, teachers should schedule practice presentations before the event. Invite administrators, teachers, community partners, or younger students to serve as practice audiences. Students benefit from answering questions from people outside their immediate class.</w:t>
      </w:r>
    </w:p>
    <w:p>
      <w:r>
        <w:t>Accessibility and Differentiation</w:t>
      </w:r>
    </w:p>
    <w:p>
      <w:pPr>
        <w:pStyle w:val="Heading3"/>
      </w:pPr>
      <w:r>
        <w:t>Teachers may support students by providing:</w:t>
      </w:r>
    </w:p>
    <w:p>
      <w:r>
        <w:t>Report templates with sentence starters</w:t>
      </w:r>
    </w:p>
    <w:p>
      <w:r>
        <w:t>Audio-to-text drafting options</w:t>
      </w:r>
    </w:p>
    <w:p>
      <w:r>
        <w:t>Small-group writing conferences</w:t>
      </w:r>
    </w:p>
    <w:p>
      <w:r>
        <w:t>Alternative presentation formats</w:t>
      </w:r>
    </w:p>
    <w:p>
      <w:r>
        <w:t>Extended deadlines for sections</w:t>
      </w:r>
    </w:p>
    <w:p>
      <w:r>
        <w:t>Graphic organizers</w:t>
      </w:r>
    </w:p>
    <w:p>
      <w:r>
        <w:t>Example paragraphs</w:t>
      </w:r>
    </w:p>
    <w:p>
      <w:r>
        <w:t>Peer pairing based on project type</w:t>
      </w:r>
    </w:p>
    <w:p>
      <w:r>
        <w:t>Reduced length requirements while preserving core scientific sections</w:t>
      </w:r>
    </w:p>
    <w:p>
      <w:r>
        <w:t>The goal is for every student to communicate authentic research clearly, not for every report to look identical.</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