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STARLAB</w:t>
      </w:r>
    </w:p>
    <w:p>
      <w:pPr>
        <w:jc w:val="center"/>
      </w:pPr>
      <w:r>
        <w:rPr>
          <w:b/>
          <w:sz w:val="36"/>
        </w:rPr>
        <w:t>Appendix P: Competition, Fair, and Publication Pathways</w:t>
      </w:r>
    </w:p>
    <w:p>
      <w:pPr>
        <w:jc w:val="center"/>
      </w:pPr>
      <w:r>
        <w:rPr>
          <w:i/>
          <w:sz w:val="20"/>
        </w:rPr>
        <w:t>STARLAB Unit 6 Appendix</w:t>
      </w:r>
    </w:p>
    <w:p/>
    <w:p>
      <w:r>
        <w:rPr/>
        <w:t>Students who want to continue may consider:</w:t>
      </w:r>
    </w:p>
    <w:p>
      <w:r>
        <w:rPr/>
        <w:t>Local school research showcase</w:t>
      </w:r>
    </w:p>
    <w:p>
      <w:r>
        <w:rPr/>
        <w:t>District science fair</w:t>
      </w:r>
    </w:p>
    <w:p>
      <w:r>
        <w:rPr/>
        <w:t>Regional science and engineering fair</w:t>
      </w:r>
    </w:p>
    <w:p>
      <w:r>
        <w:rPr/>
        <w:t>State science fair</w:t>
      </w:r>
    </w:p>
    <w:p>
      <w:r>
        <w:rPr/>
        <w:t>Junior Science and Humanities Symposium, if available</w:t>
      </w:r>
    </w:p>
    <w:p>
      <w:r>
        <w:rPr/>
        <w:t>Student research journals</w:t>
      </w:r>
    </w:p>
    <w:p>
      <w:r>
        <w:rPr/>
        <w:t>Community presentations</w:t>
      </w:r>
    </w:p>
    <w:p>
      <w:r>
        <w:rPr/>
        <w:t>University lab continuation</w:t>
      </w:r>
    </w:p>
    <w:p>
      <w:r>
        <w:rPr/>
        <w:t>Independent study</w:t>
      </w:r>
    </w:p>
    <w:p>
      <w:r>
        <w:rPr/>
        <w:t>Summer research programs</w:t>
      </w:r>
    </w:p>
    <w:p>
      <w:r>
        <w:rPr/>
        <w:t>Teacher note:</w:t>
      </w:r>
    </w:p>
    <w:p>
      <w:r>
        <w:rPr/>
        <w:t>Submission requirements vary. Projects involving human subjects, animals, biological agents, hazardous materials, or certain types of data may require approval forms before research begins. Teachers should check rules early for students who may pursue competitions.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