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STARLAB</w:t>
      </w:r>
    </w:p>
    <w:p>
      <w:pPr>
        <w:jc w:val="center"/>
      </w:pPr>
      <w:r>
        <w:rPr>
          <w:b/>
          <w:sz w:val="36"/>
        </w:rPr>
        <w:t>Appendix I: Showcase Planning Guide for Teachers</w:t>
      </w:r>
    </w:p>
    <w:p>
      <w:pPr>
        <w:jc w:val="center"/>
      </w:pPr>
      <w:r>
        <w:rPr>
          <w:i/>
          <w:sz w:val="20"/>
        </w:rPr>
        <w:t>STARLAB Unit 6 Appendix</w:t>
      </w:r>
    </w:p>
    <w:p/>
    <w:p>
      <w:pPr>
        <w:pStyle w:val="Heading2"/>
      </w:pPr>
      <w:r>
        <w:rPr>
          <w:b/>
        </w:rPr>
        <w:t>Decisions to Make</w:t>
      </w:r>
    </w:p>
    <w:p>
      <w:r>
        <w:rPr/>
        <w:t>Date and time</w:t>
      </w:r>
    </w:p>
    <w:p>
      <w:r>
        <w:rPr/>
        <w:t>Location</w:t>
      </w:r>
    </w:p>
    <w:p>
      <w:r>
        <w:rPr/>
        <w:t>Audience</w:t>
      </w:r>
    </w:p>
    <w:p>
      <w:r>
        <w:rPr/>
        <w:t>Presentation format</w:t>
      </w:r>
    </w:p>
    <w:p>
      <w:r>
        <w:rPr/>
        <w:t>Student setup needs</w:t>
      </w:r>
    </w:p>
    <w:p>
      <w:r>
        <w:rPr/>
        <w:t>Technology needs</w:t>
      </w:r>
    </w:p>
    <w:p>
      <w:r>
        <w:rPr/>
        <w:t>Visitor flow</w:t>
      </w:r>
    </w:p>
    <w:p>
      <w:r>
        <w:rPr/>
        <w:t>Assessment method</w:t>
      </w:r>
    </w:p>
    <w:p>
      <w:r>
        <w:rPr/>
        <w:t>Feedback collection method</w:t>
      </w:r>
    </w:p>
    <w:p>
      <w:r>
        <w:rPr/>
        <w:t>Photography or media permissions</w:t>
      </w:r>
    </w:p>
    <w:p>
      <w:r>
        <w:rPr/>
        <w:t>Cleanup expectations</w:t>
      </w:r>
    </w:p>
    <w:p>
      <w:pPr>
        <w:pStyle w:val="Heading2"/>
      </w:pPr>
      <w:r>
        <w:rPr>
          <w:b/>
        </w:rPr>
        <w:t>Possible Showcase Formats</w:t>
      </w:r>
    </w:p>
    <w:p>
      <w:pPr>
        <w:pStyle w:val="Heading3"/>
      </w:pPr>
      <w:r>
        <w:rPr>
          <w:b/>
        </w:rPr>
        <w:t>Poster Session</w:t>
      </w:r>
    </w:p>
    <w:p>
      <w:r>
        <w:rPr/>
        <w:t>Students stand by posters or boards and give repeated short explanations.</w:t>
      </w:r>
    </w:p>
    <w:p>
      <w:pPr>
        <w:pStyle w:val="Heading3"/>
      </w:pPr>
      <w:r>
        <w:rPr>
          <w:b/>
        </w:rPr>
        <w:t>Formal Presentation Session</w:t>
      </w:r>
    </w:p>
    <w:p>
      <w:r>
        <w:rPr/>
        <w:t>Students give timed presentations to an audience.</w:t>
      </w:r>
    </w:p>
    <w:p>
      <w:pPr>
        <w:pStyle w:val="Heading3"/>
      </w:pPr>
      <w:r>
        <w:rPr>
          <w:b/>
        </w:rPr>
        <w:t>Rotating Gallery Walk</w:t>
      </w:r>
    </w:p>
    <w:p>
      <w:r>
        <w:rPr/>
        <w:t>Half the class presents while half rotates, then students switch.</w:t>
      </w:r>
    </w:p>
    <w:p>
      <w:pPr>
        <w:pStyle w:val="Heading3"/>
      </w:pPr>
      <w:r>
        <w:rPr>
          <w:b/>
        </w:rPr>
        <w:t>Mentor Panel</w:t>
      </w:r>
    </w:p>
    <w:p>
      <w:r>
        <w:rPr/>
        <w:t>Students present to mentors, university partners, or professionals.</w:t>
      </w:r>
    </w:p>
    <w:p>
      <w:pPr>
        <w:pStyle w:val="Heading3"/>
      </w:pPr>
      <w:r>
        <w:rPr>
          <w:b/>
        </w:rPr>
        <w:t>Public Research Night</w:t>
      </w:r>
    </w:p>
    <w:p>
      <w:r>
        <w:rPr/>
        <w:t>Families, administrators, teachers, and community members attend an evening event.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