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34: Final Reflection, Portfolio, and Next Steps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34 closes the STARLAB year. Students reflect on their research process, assemble portfolio artifacts, consider continuation opportunities, and identify what they learned about science, engineering, persistence, communication, and themselves.</w:t>
      </w:r>
    </w:p>
    <w:p>
      <w:r>
        <w:rPr/>
        <w:t>This week is also valuable for the teacher. Student reflections can help improve the STARLAB chapter for future years.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Reflect on their growth as researchers.</w:t>
      </w:r>
    </w:p>
    <w:p>
      <w:r>
        <w:rPr/>
        <w:t>Analyze how challenges, failures, and revisions shaped their work.</w:t>
      </w:r>
    </w:p>
    <w:p>
      <w:r>
        <w:rPr/>
        <w:t>Assemble a portfolio of research artifacts.</w:t>
      </w:r>
    </w:p>
    <w:p>
      <w:r>
        <w:rPr/>
        <w:t>Identify possible next steps beyond the course.</w:t>
      </w:r>
    </w:p>
    <w:p>
      <w:r>
        <w:rPr/>
        <w:t>Provide feedback on the STARLAB experience.</w:t>
      </w:r>
    </w:p>
    <w:p>
      <w:pPr>
        <w:pStyle w:val="Heading2"/>
      </w:pPr>
      <w:r>
        <w:rPr>
          <w:b/>
        </w:rPr>
        <w:t>Teacher Materials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