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Brand"/>
        <w:keepNext/>
        <w:widowControl/>
        <w:spacing w:before="0" w:after="40" w:line="240" w:lineRule="auto"/>
      </w:pPr>
      <w:r>
        <w:rPr>
          <w:rFonts w:ascii="Arial" w:hAnsi="Arial"/>
          <w:b/>
          <w:color w:val="E31B23"/>
        </w:rPr>
        <w:t>STARLAB</w:t>
      </w:r>
    </w:p>
    <w:p>
      <w:pPr>
        <w:pStyle w:val="STARLABWeekTitle"/>
        <w:keepNext/>
        <w:widowControl/>
        <w:spacing w:before="0" w:after="80" w:line="240" w:lineRule="auto"/>
      </w:pPr>
      <w:r>
        <w:rPr>
          <w:rFonts w:ascii="Arial" w:hAnsi="Arial"/>
          <w:b/>
          <w:color w:val="111111"/>
        </w:rPr>
        <w:t>Week 11: Expanding Trials and Checking Reliability</w:t>
      </w:r>
    </w:p>
    <w:p>
      <w:pPr>
        <w:pStyle w:val="STARLABGuideSubtitle"/>
        <w:keepNext/>
        <w:widowControl/>
        <w:pBdr>
          <w:bottom w:val="single" w:sz="14" w:space="5" w:color="E31B23"/>
        </w:pBdr>
        <w:spacing w:before="0" w:after="260" w:line="240" w:lineRule="auto"/>
      </w:pPr>
      <w:r>
        <w:rPr>
          <w:rFonts w:ascii="Arial" w:hAnsi="Arial"/>
          <w:color w:val="555555"/>
        </w:rPr>
        <w:t>STARLAB Unit 3 Teaching Guide</w:t>
      </w:r>
    </w:p>
    <w:p w:rsidR="00000000" w:rsidDel="00000000" w:rsidP="00000000" w:rsidRDefault="00000000" w:rsidRPr="00000000" w14:paraId="000001FD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wlpxvpqx6inx" w:id="80"/>
      <w:bookmarkEnd w:id="80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1FE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Week 11 focuses on building enough evidence. Students should continue data collection while considering whether their trials, samples, iterations, or observations are sufficient to support later analysis.</w:t>
      </w:r>
    </w:p>
    <w:p w:rsidR="00000000" w:rsidDel="00000000" w:rsidP="00000000" w:rsidRDefault="00000000" w:rsidRPr="00000000" w14:paraId="000001FF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l54qf5stez84" w:id="81"/>
      <w:bookmarkEnd w:id="81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200">
      <w:pPr>
        <w:pStyle w:val="STARLABLabel"/>
        <w:keepNext/>
        <w:widowControl/>
        <w:spacing w:after="20" w:before="80" w:lineRule="auto" w:line="240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b/>
          <w:color w:val="111111"/>
          <w:rtl w:val="0"/>
        </w:rPr>
        <w:t xml:space="preserve">Students will be able to:</w:t>
      </w:r>
    </w:p>
    <w:p w:rsidR="00000000" w:rsidDel="00000000" w:rsidP="00000000" w:rsidRDefault="00000000" w:rsidRPr="00000000" w14:paraId="00000201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Continue collecting data across repeated trials or iterations.</w:t>
      </w:r>
    </w:p>
    <w:p w:rsidR="00000000" w:rsidDel="00000000" w:rsidP="00000000" w:rsidRDefault="00000000" w:rsidRPr="00000000" w14:paraId="00000202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Evaluate whether the amount of data is sufficient.</w:t>
      </w:r>
    </w:p>
    <w:p w:rsidR="00000000" w:rsidDel="00000000" w:rsidP="00000000" w:rsidRDefault="00000000" w:rsidRPr="00000000" w14:paraId="00000203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Identify patterns, outliers, or inconsistencies without over-interpreting.</w:t>
      </w:r>
    </w:p>
    <w:p w:rsidR="00000000" w:rsidDel="00000000" w:rsidP="00000000" w:rsidRDefault="00000000" w:rsidRPr="00000000" w14:paraId="00000204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Plan additional trials where needed.</w:t>
      </w:r>
    </w:p>
    <w:p w:rsidR="00000000" w:rsidDel="00000000" w:rsidP="00000000" w:rsidRDefault="00000000" w:rsidRPr="00000000" w14:paraId="00000205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Update their timeline based on progress.</w:t>
      </w:r>
    </w:p>
    <w:p w:rsidR="00000000" w:rsidDel="00000000" w:rsidP="00000000" w:rsidRDefault="00000000" w:rsidRPr="00000000" w14:paraId="00000206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21rg6th51mrp" w:id="82"/>
      <w:bookmarkEnd w:id="82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Materials</w:t>
      </w:r>
    </w:p>
    <w:p>
      <w:pPr>
        <w:pStyle w:val="STARLABDeckUse"/>
        <w:shd w:val="clear" w:color="auto" w:fill="F2F2F2"/>
        <w:keepNext w:val="0"/>
        <w:widowControl/>
        <w:pBdr>
          <w:left w:val="single" w:sz="18" w:space="6" w:color="E31B23"/>
        </w:pBdr>
        <w:spacing w:before="40" w:after="140" w:line="252" w:lineRule="auto"/>
      </w:pPr>
      <w:r>
        <w:rPr>
          <w:rFonts w:ascii="Arial" w:hAnsi="Arial"/>
          <w:color w:val="111111"/>
        </w:rPr>
        <w:t>Deck Use: No New Deck - data collection and reliability work sessions</w:t>
      </w:r>
    </w:p>
    <w:p w:rsidR="00000000" w:rsidDel="00000000" w:rsidP="00000000" w:rsidRDefault="00000000" w:rsidRPr="00000000" w14:paraId="00000207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 Handout 13: Reliability and Completeness Check</w:t>
      </w:r>
    </w:p>
    <w:p w:rsidR="00000000" w:rsidDel="00000000" w:rsidP="00000000" w:rsidRDefault="00000000" w:rsidRPr="00000000" w14:paraId="00000208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 Handout 9: Weekly Progress Check-In</w:t>
      </w:r>
    </w:p>
    <w:p w:rsidR="00000000" w:rsidDel="00000000" w:rsidP="00000000" w:rsidRDefault="00000000" w:rsidRPr="00000000" w14:paraId="00000209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>
        <w:rPr>
          <w:rFonts w:ascii="Arial" w:hAnsi="Arial"/>
          <w:color w:val="111111"/>
        </w:rPr>
        <w:t>Optional / Teacher Reference - Appendix M: Trials, Sample Size, and Repetition Guide</w:t>
      </w:r>
    </w:p>
    <w:p w:rsidR="00000000" w:rsidDel="00000000" w:rsidP="00000000" w:rsidRDefault="00000000" w:rsidRPr="00000000" w14:paraId="0000020A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cge35ohxoixp" w:id="83"/>
      <w:bookmarkEnd w:id="83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20B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m06cnmkz8foq" w:id="84"/>
      <w:bookmarkEnd w:id="84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1: How Much Data Is Enough?</w:t>
      </w:r>
    </w:p>
    <w:p w:rsidR="00000000" w:rsidDel="00000000" w:rsidP="00000000" w:rsidRDefault="00000000" w:rsidRPr="00000000" w14:paraId="0000020C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Discuss that “enough” depends on project type, time, reliability, and research goals.</w:t>
      </w:r>
    </w:p>
    <w:p w:rsidR="00000000" w:rsidDel="00000000" w:rsidP="00000000" w:rsidRDefault="00000000" w:rsidRPr="00000000" w14:paraId="0000020D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should consider:</w:t>
      </w:r>
    </w:p>
    <w:p w:rsidR="00000000" w:rsidDel="00000000" w:rsidP="00000000" w:rsidRDefault="00000000" w:rsidRPr="00000000" w14:paraId="0000020E">
      <w:pPr>
        <w:keepNext w:val="0"/>
        <w:widowControl/>
        <w:numPr>
          <w:ilvl w:val="0"/>
          <w:numId w:val="122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Number of trials</w:t>
      </w:r>
    </w:p>
    <w:p w:rsidR="00000000" w:rsidDel="00000000" w:rsidP="00000000" w:rsidRDefault="00000000" w:rsidRPr="00000000" w14:paraId="0000020F">
      <w:pPr>
        <w:keepNext w:val="0"/>
        <w:widowControl/>
        <w:numPr>
          <w:ilvl w:val="0"/>
          <w:numId w:val="12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Number of samples</w:t>
      </w:r>
    </w:p>
    <w:p w:rsidR="00000000" w:rsidDel="00000000" w:rsidP="00000000" w:rsidRDefault="00000000" w:rsidRPr="00000000" w14:paraId="00000210">
      <w:pPr>
        <w:keepNext w:val="0"/>
        <w:widowControl/>
        <w:numPr>
          <w:ilvl w:val="0"/>
          <w:numId w:val="12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Number of prototype iterations</w:t>
      </w:r>
    </w:p>
    <w:p w:rsidR="00000000" w:rsidDel="00000000" w:rsidP="00000000" w:rsidRDefault="00000000" w:rsidRPr="00000000" w14:paraId="00000211">
      <w:pPr>
        <w:keepNext w:val="0"/>
        <w:widowControl/>
        <w:numPr>
          <w:ilvl w:val="0"/>
          <w:numId w:val="12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Consistency of measurements</w:t>
      </w:r>
    </w:p>
    <w:p w:rsidR="00000000" w:rsidDel="00000000" w:rsidP="00000000" w:rsidRDefault="00000000" w:rsidRPr="00000000" w14:paraId="00000212">
      <w:pPr>
        <w:keepNext w:val="0"/>
        <w:widowControl/>
        <w:numPr>
          <w:ilvl w:val="0"/>
          <w:numId w:val="12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Variability in results</w:t>
      </w:r>
    </w:p>
    <w:p w:rsidR="00000000" w:rsidDel="00000000" w:rsidP="00000000" w:rsidRDefault="00000000" w:rsidRPr="00000000" w14:paraId="00000213">
      <w:pPr>
        <w:keepNext w:val="0"/>
        <w:widowControl/>
        <w:numPr>
          <w:ilvl w:val="0"/>
          <w:numId w:val="12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Whether each condition has comparable data</w:t>
      </w:r>
    </w:p>
    <w:p w:rsidR="00000000" w:rsidDel="00000000" w:rsidP="00000000" w:rsidRDefault="00000000" w:rsidRPr="00000000" w14:paraId="00000214">
      <w:pPr>
        <w:keepNext w:val="0"/>
        <w:widowControl/>
        <w:numPr>
          <w:ilvl w:val="0"/>
          <w:numId w:val="122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Whether the data can answer the research question</w:t>
      </w:r>
    </w:p>
    <w:p w:rsidR="00000000" w:rsidDel="00000000" w:rsidP="00000000" w:rsidRDefault="00000000" w:rsidRPr="00000000" w14:paraId="00000215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Avoid giving one universal number. Instead, help students justify their data quantity.</w:t>
      </w:r>
    </w:p>
    <w:p w:rsidR="00000000" w:rsidDel="00000000" w:rsidP="00000000" w:rsidRDefault="00000000" w:rsidRPr="00000000" w14:paraId="00000216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61oui44pacp6" w:id="85"/>
      <w:bookmarkEnd w:id="85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Days 2–4: Expanded Data Collection</w:t>
      </w:r>
    </w:p>
    <w:p w:rsidR="00000000" w:rsidDel="00000000" w:rsidP="00000000" w:rsidRDefault="00000000" w:rsidRPr="00000000" w14:paraId="00000217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conduct additional trials, repeat tests, add comparison conditions, or complete prototype iterations.</w:t>
      </w:r>
    </w:p>
    <w:p w:rsidR="00000000" w:rsidDel="00000000" w:rsidP="00000000" w:rsidRDefault="00000000" w:rsidRPr="00000000" w14:paraId="00000218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Teacher should monitor whether students are collecting balanced data across conditions.</w:t>
      </w:r>
    </w:p>
    <w:p w:rsidR="00000000" w:rsidDel="00000000" w:rsidP="00000000" w:rsidRDefault="00000000" w:rsidRPr="00000000" w14:paraId="00000219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3x3h29bnftg4" w:id="86"/>
      <w:bookmarkEnd w:id="86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5: Reliability and Completeness Check</w:t>
      </w:r>
    </w:p>
    <w:p w:rsidR="00000000" w:rsidDel="00000000" w:rsidP="00000000" w:rsidRDefault="00000000" w:rsidRPr="00000000" w14:paraId="0000021A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complete Student Handout 13.</w:t>
      </w:r>
    </w:p>
    <w:p w:rsidR="00000000" w:rsidDel="00000000" w:rsidP="00000000" w:rsidRDefault="00000000" w:rsidRPr="00000000" w14:paraId="0000021B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They should identify:</w:t>
      </w:r>
    </w:p>
    <w:p w:rsidR="00000000" w:rsidDel="00000000" w:rsidP="00000000" w:rsidRDefault="00000000" w:rsidRPr="00000000" w14:paraId="0000021C">
      <w:pPr>
        <w:keepNext w:val="0"/>
        <w:widowControl/>
        <w:numPr>
          <w:ilvl w:val="0"/>
          <w:numId w:val="91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What evidence is strong</w:t>
      </w:r>
    </w:p>
    <w:p w:rsidR="00000000" w:rsidDel="00000000" w:rsidP="00000000" w:rsidRDefault="00000000" w:rsidRPr="00000000" w14:paraId="0000021D">
      <w:pPr>
        <w:keepNext w:val="0"/>
        <w:widowControl/>
        <w:numPr>
          <w:ilvl w:val="0"/>
          <w:numId w:val="91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What evidence is weak</w:t>
      </w:r>
    </w:p>
    <w:p w:rsidR="00000000" w:rsidDel="00000000" w:rsidP="00000000" w:rsidRDefault="00000000" w:rsidRPr="00000000" w14:paraId="0000021E">
      <w:pPr>
        <w:keepNext w:val="0"/>
        <w:widowControl/>
        <w:numPr>
          <w:ilvl w:val="0"/>
          <w:numId w:val="91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Which conditions need more trials</w:t>
      </w:r>
    </w:p>
    <w:p w:rsidR="00000000" w:rsidDel="00000000" w:rsidP="00000000" w:rsidRDefault="00000000" w:rsidRPr="00000000" w14:paraId="0000021F">
      <w:pPr>
        <w:keepNext w:val="0"/>
        <w:widowControl/>
        <w:numPr>
          <w:ilvl w:val="0"/>
          <w:numId w:val="91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Whether outliers or failed trials need notes</w:t>
      </w:r>
    </w:p>
    <w:p w:rsidR="00000000" w:rsidDel="00000000" w:rsidP="00000000" w:rsidRDefault="00000000" w:rsidRPr="00000000" w14:paraId="00000220">
      <w:pPr>
        <w:keepNext w:val="0"/>
        <w:widowControl/>
        <w:numPr>
          <w:ilvl w:val="0"/>
          <w:numId w:val="91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What must be completed before analysis</w:t>
      </w:r>
    </w:p>
    <w:p w:rsidR="00000000" w:rsidDel="00000000" w:rsidP="00000000" w:rsidRDefault="00000000" w:rsidRPr="00000000" w14:paraId="00000221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37eeqj2u0gfr" w:id="87"/>
      <w:bookmarkEnd w:id="87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Week 11 Deliverables</w:t>
      </w:r>
    </w:p>
    <w:p w:rsidR="00000000" w:rsidDel="00000000" w:rsidP="00000000" w:rsidRDefault="00000000" w:rsidRPr="00000000" w14:paraId="00000222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Updated raw data set</w:t>
      </w:r>
    </w:p>
    <w:p w:rsidR="00000000" w:rsidDel="00000000" w:rsidP="00000000" w:rsidRDefault="00000000" w:rsidRPr="00000000" w14:paraId="00000223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Reliability and completeness check</w:t>
      </w:r>
    </w:p>
    <w:p w:rsidR="00000000" w:rsidDel="00000000" w:rsidP="00000000" w:rsidRDefault="00000000" w:rsidRPr="00000000" w14:paraId="00000224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Weekly progress check-in</w:t>
      </w:r>
    </w:p>
    <w:p w:rsidR="00000000" w:rsidDel="00000000" w:rsidP="00000000" w:rsidRDefault="00000000" w:rsidRPr="00000000" w14:paraId="00000225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Updated timeline if needed</w:t>
      </w:r>
    </w:p>
    <w:p w:rsidR="00000000" w:rsidDel="00000000" w:rsidP="00000000" w:rsidRDefault="00000000" w:rsidRPr="00000000" w14:paraId="00000226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95s5423u2rjh" w:id="88"/>
      <w:bookmarkEnd w:id="88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227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may confuse quantity with quality. More data is not useful if the method is inconsistent. Encourage students to prioritize consistent, well-documented evidence over large but chaotic data sets.</w:t>
      </w:r>
    </w:p>
    <w:sectPr>
      <w:headerReference w:type="default" r:id="rId6"/>
      <w:footerReference w:type="default" r:id="rId7"/>
      <w:pgSz w:h="15840" w:w="12240"/>
      <w:pgMar w:bottom="864" w:top="936" w:left="1080" w:right="1080" w:header="360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7"/>
      </w:rPr>
      <w:t xml:space="preserve">STARLAB | UNIT 3 | WEEK 11 | PAGE </w:t>
    </w:r>
    <w:r>
      <w:rPr>
        <w:rFonts w:ascii="Arial" w:hAnsi="Arial"/>
        <w:color w:val="55555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abstractNum w:abstractNumId="123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540" w:hanging="180"/>
      </w:pPr>
      <w:rPr>
        <w:rFonts w:ascii="Arial" w:hAnsi="Arial" w:eastAsia="Arial" w:cs="Arial"/>
        <w:sz w:val="21"/>
      </w:rPr>
    </w:lvl>
  </w:abstractNum>
  <w:num w:numId="123">
    <w:abstractNumId w:val="1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widowControl/>
      <w:spacing w:before="0" w:after="8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120" w:before="280" w:lineRule="auto"/>
    </w:pPr>
    <w:rPr>
      <w:rFonts w:ascii="Arial" w:hAnsi="Arial" w:eastAsia="Arial" w:cs="Arial"/>
      <w:b/>
      <w:i w:val="0"/>
      <w:color w:val="E31B23"/>
      <w:sz w:val="32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80" w:before="220" w:lineRule="auto"/>
    </w:pPr>
    <w:rPr>
      <w:rFonts w:ascii="Arial" w:hAnsi="Arial" w:eastAsia="Arial" w:cs="Arial"/>
      <w:b/>
      <w:bCs w:val="0"/>
      <w:i w:val="0"/>
      <w:color w:val="E31B23"/>
      <w:sz w:val="27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40" w:lineRule="auto"/>
    </w:pPr>
    <w:rPr>
      <w:rFonts w:ascii="Arial" w:hAnsi="Arial" w:eastAsia="Arial" w:cs="Arial"/>
      <w:b/>
      <w:bCs w:val="0"/>
      <w:i w:val="0"/>
      <w:color w:val="111111"/>
      <w:sz w:val="23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555555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555555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555555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80" w:before="0" w:lineRule="auto"/>
    </w:pPr>
    <w:rPr>
      <w:rFonts w:ascii="Arial" w:hAnsi="Arial" w:eastAsia="Arial" w:cs="Arial"/>
      <w:b/>
      <w:i w:val="0"/>
      <w:color w:val="111111"/>
      <w:sz w:val="48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240" w:before="0" w:lineRule="auto"/>
    </w:pPr>
    <w:rPr>
      <w:rFonts w:ascii="Arial" w:cs="Arial" w:eastAsia="Arial" w:hAnsi="Arial"/>
      <w:b/>
      <w:i w:val="0"/>
      <w:iCs w:val="0"/>
      <w:color w:val="555555"/>
      <w:sz w:val="21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Brand">
    <w:name w:val="STARLAB Brand"/>
    <w:basedOn w:val="Normal"/>
    <w:pPr>
      <w:keepNext/>
      <w:spacing w:before="0" w:after="40"/>
    </w:pPr>
    <w:rPr>
      <w:rFonts w:ascii="Arial" w:hAnsi="Arial" w:eastAsia="Arial" w:cs="Arial"/>
      <w:b/>
      <w:i w:val="0"/>
      <w:color w:val="E31B23"/>
      <w:sz w:val="21"/>
    </w:rPr>
  </w:style>
  <w:style w:type="paragraph" w:customStyle="1" w:styleId="STARLABWeekTitle">
    <w:name w:val="STARLAB Week Title"/>
    <w:basedOn w:val="Normal"/>
    <w:pPr>
      <w:keepNext/>
      <w:spacing w:before="0" w:after="80" w:line="240" w:lineRule="auto"/>
    </w:pPr>
    <w:rPr>
      <w:rFonts w:ascii="Arial" w:hAnsi="Arial" w:eastAsia="Arial" w:cs="Arial"/>
      <w:b/>
      <w:i w:val="0"/>
      <w:color w:val="111111"/>
      <w:sz w:val="48"/>
    </w:rPr>
  </w:style>
  <w:style w:type="paragraph" w:customStyle="1" w:styleId="STARLABGuideSubtitle">
    <w:name w:val="STARLAB Guide Subtitle"/>
    <w:basedOn w:val="Normal"/>
    <w:pPr>
      <w:keepNext/>
      <w:spacing w:before="0" w:after="260"/>
    </w:pPr>
    <w:rPr>
      <w:rFonts w:ascii="Arial" w:hAnsi="Arial" w:eastAsia="Arial" w:cs="Arial"/>
      <w:b/>
      <w:i w:val="0"/>
      <w:color w:val="555555"/>
      <w:sz w:val="21"/>
    </w:rPr>
  </w:style>
  <w:style w:type="paragraph" w:customStyle="1" w:styleId="STARLABLabel">
    <w:name w:val="STARLAB Label"/>
    <w:basedOn w:val="Normal"/>
    <w:pPr>
      <w:keepNext/>
      <w:spacing w:before="80" w:after="20"/>
    </w:pPr>
    <w:rPr>
      <w:rFonts w:ascii="Arial" w:hAnsi="Arial" w:eastAsia="Arial" w:cs="Arial"/>
      <w:b/>
      <w:i w:val="0"/>
      <w:color w:val="111111"/>
      <w:sz w:val="20"/>
    </w:rPr>
  </w:style>
  <w:style w:type="paragraph" w:customStyle="1" w:styleId="STARLABDeckUse">
    <w:name w:val="STARLAB Deck Use"/>
    <w:basedOn w:val="Normal"/>
    <w:pPr>
      <w:keepLines/>
      <w:spacing w:before="40" w:after="140"/>
      <w:ind w:left="187" w:right="115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ListBullet">
    <w:name w:val="List Bullet"/>
    <w:pPr>
      <w:spacing w:before="0" w:after="4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ListNumber">
    <w:name w:val="List Number"/>
    <w:pPr>
      <w:spacing w:before="0" w:after="4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footer">
    <w:name w:val="footer"/>
    <w:pPr>
      <w:spacing w:before="0" w:after="0"/>
    </w:pPr>
    <w:rPr>
      <w:rFonts w:ascii="Arial" w:hAnsi="Arial" w:eastAsia="Arial" w:cs="Arial"/>
      <w:b w:val="0"/>
      <w:i w:val="0"/>
      <w:color w:val="555555"/>
      <w:sz w:val="17"/>
    </w:rPr>
  </w:style>
  <w:style w:type="character" w:customStyle="1" w:styleId="Hyperlink">
    <w:name w:val="Hyperlink"/>
    <w:rPr>
      <w:rFonts w:ascii="Arial" w:hAnsi="Arial" w:eastAsia="Arial" w:cs="Arial"/>
      <w:b w:val="0"/>
      <w:i w:val="0"/>
      <w:color w:val="E31B23"/>
      <w:sz w:val="20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555555"/>
      </a:dk2>
      <a:lt2>
        <a:srgbClr val="E6E6E6"/>
      </a:lt2>
      <a:accent1>
        <a:srgbClr val="999999"/>
      </a:accent1>
      <a:accent2>
        <a:srgbClr val="E31B23"/>
      </a:accent2>
      <a:accent3>
        <a:srgbClr val="999999"/>
      </a:accent3>
      <a:accent4>
        <a:srgbClr val="999999"/>
      </a:accent4>
      <a:accent5>
        <a:srgbClr val="999999"/>
      </a:accent5>
      <a:accent6>
        <a:srgbClr val="999999"/>
      </a:accent6>
      <a:hlink>
        <a:srgbClr val="555555"/>
      </a:hlink>
      <a:folHlink>
        <a:srgbClr val="555555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Week 11: Expanding Trials and Checking Reliability</dc:title>
  <cp:lastModifiedBy>python-docx</cp:lastModifiedBy>
  <cp:revision>1</cp:revision>
  <dcterms:modified xsi:type="dcterms:W3CDTF">2026-07-17T00:01:15Z</dcterms:modified>
  <dc:subject>STARLAB Unit 3 weekly teaching guide</dc:subject>
  <cp:keywords>STARLAB, Unit 3, Week 11, weekly teaching guide, teacher</cp:keywords>
</cp:coreProperties>
</file>