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ARLABBrand"/>
        <w:keepNext/>
        <w:widowControl/>
        <w:spacing w:before="0" w:after="40" w:line="240" w:lineRule="auto"/>
      </w:pPr>
      <w:r>
        <w:rPr>
          <w:rFonts w:ascii="Arial" w:hAnsi="Arial"/>
          <w:b/>
          <w:color w:val="E31B23"/>
        </w:rPr>
        <w:t>STARLAB</w:t>
      </w:r>
    </w:p>
    <w:p>
      <w:pPr>
        <w:pStyle w:val="STARLABWeekTitle"/>
        <w:keepNext/>
        <w:widowControl/>
        <w:spacing w:before="0" w:after="80" w:line="240" w:lineRule="auto"/>
      </w:pPr>
      <w:r>
        <w:rPr>
          <w:rFonts w:ascii="Arial" w:hAnsi="Arial"/>
          <w:b/>
          <w:color w:val="111111"/>
        </w:rPr>
        <w:t>Week 17: Data Organization, Cleaning, and Audit</w:t>
      </w:r>
    </w:p>
    <w:p>
      <w:pPr>
        <w:pStyle w:val="STARLABGuideSubtitle"/>
        <w:keepNext/>
        <w:widowControl/>
        <w:pBdr>
          <w:bottom w:val="single" w:sz="14" w:space="5" w:color="E31B23"/>
        </w:pBdr>
        <w:spacing w:before="0" w:after="260" w:line="240" w:lineRule="auto"/>
      </w:pPr>
      <w:r>
        <w:rPr>
          <w:rFonts w:ascii="Arial" w:hAnsi="Arial"/>
          <w:color w:val="555555"/>
        </w:rPr>
        <w:t>STARLAB Unit 4 Teaching Guide</w:t>
      </w:r>
    </w:p>
    <w:p>
      <w:pPr>
        <w:pStyle w:val="Heading2"/>
        <w:keepNext/>
        <w:widowControl/>
        <w:spacing w:before="220" w:after="80" w:line="240" w:lineRule="auto"/>
      </w:pPr>
      <w:r>
        <w:rPr>
          <w:rFonts w:ascii="Arial" w:hAnsi="Arial"/>
          <w:b/>
          <w:color w:val="E31B23"/>
        </w:rPr>
        <w:t>Teacher Overview</w:t>
      </w:r>
    </w:p>
    <w:p>
      <w:pPr>
        <w:keepNext w:val="0"/>
        <w:widowControl/>
        <w:spacing w:before="0" w:after="80" w:line="252" w:lineRule="auto"/>
      </w:pPr>
      <w:r>
        <w:rPr>
          <w:rFonts w:ascii="Arial" w:hAnsi="Arial"/>
          <w:color w:val="111111"/>
        </w:rPr>
        <w:t>Week 17 begins with organizing and cleaning data. Students should not immediately jump into graphing. First, they need to ensure their data are understandable, complete, labeled, and usable. This week reinforces the difference between raw data and clean data.</w:t>
      </w:r>
    </w:p>
    <w:p>
      <w:pPr>
        <w:keepNext w:val="0"/>
        <w:widowControl/>
        <w:spacing w:before="0" w:after="80" w:line="252" w:lineRule="auto"/>
      </w:pPr>
      <w:r>
        <w:rPr>
          <w:rFonts w:ascii="Arial" w:hAnsi="Arial"/>
          <w:color w:val="111111"/>
        </w:rPr>
        <w:t>Students may have very different forms of evidence: spreadsheets, photos, videos, code outputs, prototype performance logs, observation notes, sensor readings, or survey results if approved. Regardless of format, evidence must be organized before it can be analyzed.</w:t>
      </w:r>
    </w:p>
    <w:p>
      <w:pPr>
        <w:pStyle w:val="Heading2"/>
        <w:keepNext/>
        <w:widowControl/>
        <w:spacing w:before="220" w:after="80" w:line="240" w:lineRule="auto"/>
      </w:pPr>
      <w:r>
        <w:rPr>
          <w:rFonts w:ascii="Arial" w:hAnsi="Arial"/>
          <w:b/>
          <w:color w:val="E31B23"/>
        </w:rPr>
        <w:t>Weekly Objectives</w:t>
      </w:r>
    </w:p>
    <w:p>
      <w:pPr>
        <w:pStyle w:val="STARLABLabel"/>
        <w:keepNext/>
        <w:widowControl/>
        <w:spacing w:before="80" w:after="20" w:line="240" w:lineRule="auto"/>
      </w:pPr>
      <w:r>
        <w:rPr>
          <w:rFonts w:ascii="Arial" w:hAnsi="Arial"/>
          <w:b/>
          <w:color w:val="111111"/>
        </w:rPr>
        <w:t>Students will be able to:</w:t>
      </w:r>
    </w:p>
    <w:p>
      <w:pPr>
        <w:keepNext w:val="0"/>
        <w:widowControl/>
        <w:numPr>
          <w:ilvl w:val="0"/>
          <w:numId w:val="10"/>
        </w:numPr>
        <w:pStyle w:val="ListBullet"/>
        <w:spacing w:before="0" w:after="40" w:line="252" w:lineRule="auto"/>
      </w:pPr>
      <w:r>
        <w:rPr>
          <w:rFonts w:ascii="Arial" w:hAnsi="Arial"/>
          <w:color w:val="111111"/>
        </w:rPr>
        <w:t>Locate and preserve raw data.</w:t>
      </w:r>
    </w:p>
    <w:p>
      <w:pPr>
        <w:keepNext w:val="0"/>
        <w:widowControl/>
        <w:numPr>
          <w:ilvl w:val="0"/>
          <w:numId w:val="10"/>
        </w:numPr>
        <w:pStyle w:val="ListBullet"/>
        <w:spacing w:before="0" w:after="40" w:line="252" w:lineRule="auto"/>
      </w:pPr>
      <w:r>
        <w:rPr>
          <w:rFonts w:ascii="Arial" w:hAnsi="Arial"/>
          <w:color w:val="111111"/>
        </w:rPr>
        <w:t>Create a clean copy for analysis.</w:t>
      </w:r>
    </w:p>
    <w:p>
      <w:pPr>
        <w:keepNext w:val="0"/>
        <w:widowControl/>
        <w:numPr>
          <w:ilvl w:val="0"/>
          <w:numId w:val="10"/>
        </w:numPr>
        <w:pStyle w:val="ListBullet"/>
        <w:spacing w:before="0" w:after="40" w:line="252" w:lineRule="auto"/>
      </w:pPr>
      <w:r>
        <w:rPr>
          <w:rFonts w:ascii="Arial" w:hAnsi="Arial"/>
          <w:color w:val="111111"/>
        </w:rPr>
        <w:t>Label data clearly with units, trial numbers, dates, and conditions.</w:t>
      </w:r>
    </w:p>
    <w:p>
      <w:pPr>
        <w:keepNext w:val="0"/>
        <w:widowControl/>
        <w:numPr>
          <w:ilvl w:val="0"/>
          <w:numId w:val="10"/>
        </w:numPr>
        <w:pStyle w:val="ListBullet"/>
        <w:spacing w:before="0" w:after="40" w:line="252" w:lineRule="auto"/>
      </w:pPr>
      <w:r>
        <w:rPr>
          <w:rFonts w:ascii="Arial" w:hAnsi="Arial"/>
          <w:color w:val="111111"/>
        </w:rPr>
        <w:t>Identify missing, questionable, or inconsistent data.</w:t>
      </w:r>
    </w:p>
    <w:p>
      <w:pPr>
        <w:keepNext w:val="0"/>
        <w:widowControl/>
        <w:numPr>
          <w:ilvl w:val="0"/>
          <w:numId w:val="10"/>
        </w:numPr>
        <w:pStyle w:val="ListBullet"/>
        <w:spacing w:before="0" w:after="40" w:line="252" w:lineRule="auto"/>
      </w:pPr>
      <w:r>
        <w:rPr>
          <w:rFonts w:ascii="Arial" w:hAnsi="Arial"/>
          <w:color w:val="111111"/>
        </w:rPr>
        <w:t>Decide what data should be included, flagged, or excluded with explanation.</w:t>
      </w:r>
    </w:p>
    <w:p>
      <w:pPr>
        <w:pStyle w:val="Heading2"/>
        <w:keepNext/>
        <w:widowControl/>
        <w:spacing w:before="220" w:after="80" w:line="240" w:lineRule="auto"/>
      </w:pPr>
      <w:r>
        <w:rPr>
          <w:rFonts w:ascii="Arial" w:hAnsi="Arial"/>
          <w:b/>
          <w:color w:val="E31B23"/>
        </w:rPr>
        <w:t>Teacher Materials</w:t>
      </w:r>
    </w:p>
    <w:p>
      <w:pPr>
        <w:pStyle w:val="STARLABDeckUse"/>
        <w:shd w:val="clear" w:color="auto" w:fill="F2F2F2"/>
        <w:keepNext w:val="0"/>
        <w:widowControl/>
        <w:pBdr>
          <w:left w:val="single" w:sz="18" w:space="6" w:color="E31B23"/>
        </w:pBdr>
        <w:spacing w:before="40" w:after="140" w:line="252" w:lineRule="auto"/>
      </w:pPr>
      <w:r>
        <w:rPr>
          <w:rFonts w:ascii="Arial" w:hAnsi="Arial"/>
          <w:color w:val="111111"/>
        </w:rPr>
        <w:t>Deck Use: Primary - Deck 9: Data Organization - Raw Data vs. Clean Data; Deck 10: Choosing the Right Data Analysis Method</w:t>
      </w:r>
    </w:p>
    <w:p>
      <w:pPr>
        <w:keepNext w:val="0"/>
        <w:widowControl/>
        <w:numPr>
          <w:ilvl w:val="0"/>
          <w:numId w:val="10"/>
        </w:numPr>
        <w:pStyle w:val="ListBullet"/>
        <w:spacing w:before="0" w:after="40" w:line="252" w:lineRule="auto"/>
      </w:pPr>
      <w:r>
        <w:rPr>
          <w:rFonts w:ascii="Arial" w:hAnsi="Arial"/>
          <w:color w:val="111111"/>
        </w:rPr>
        <w:t>Student Handout 1: Raw Data Inventory</w:t>
      </w:r>
    </w:p>
    <w:p>
      <w:pPr>
        <w:keepNext w:val="0"/>
        <w:widowControl/>
        <w:numPr>
          <w:ilvl w:val="0"/>
          <w:numId w:val="10"/>
        </w:numPr>
        <w:pStyle w:val="ListBullet"/>
        <w:spacing w:before="0" w:after="40" w:line="252" w:lineRule="auto"/>
      </w:pPr>
      <w:r>
        <w:rPr>
          <w:rFonts w:ascii="Arial" w:hAnsi="Arial"/>
          <w:color w:val="111111"/>
        </w:rPr>
        <w:t>Student Handout 2: Clean Data Set Builder</w:t>
      </w:r>
    </w:p>
    <w:p>
      <w:pPr>
        <w:keepNext w:val="0"/>
        <w:widowControl/>
        <w:numPr>
          <w:ilvl w:val="0"/>
          <w:numId w:val="10"/>
        </w:numPr>
        <w:pStyle w:val="ListBullet"/>
        <w:spacing w:before="0" w:after="40" w:line="252" w:lineRule="auto"/>
      </w:pPr>
      <w:r>
        <w:rPr>
          <w:rFonts w:ascii="Arial" w:hAnsi="Arial"/>
          <w:color w:val="111111"/>
        </w:rPr>
        <w:t>Student Handout 3: Data Cleaning Decision Log</w:t>
      </w:r>
    </w:p>
    <w:p>
      <w:pPr>
        <w:keepNext w:val="0"/>
        <w:widowControl/>
        <w:numPr>
          <w:ilvl w:val="0"/>
          <w:numId w:val="10"/>
        </w:numPr>
        <w:pStyle w:val="ListBullet"/>
        <w:spacing w:before="0" w:after="40" w:line="252" w:lineRule="auto"/>
      </w:pPr>
      <w:r>
        <w:rPr>
          <w:rFonts w:ascii="Arial" w:hAnsi="Arial"/>
          <w:color w:val="111111"/>
        </w:rPr>
        <w:t>Student Handout 4: Week 17 Data Audit</w:t>
      </w:r>
    </w:p>
    <w:p>
      <w:pPr>
        <w:keepNext w:val="0"/>
        <w:widowControl/>
        <w:numPr>
          <w:ilvl w:val="0"/>
          <w:numId w:val="10"/>
        </w:numPr>
        <w:pStyle w:val="ListBullet"/>
        <w:spacing w:before="0" w:after="40" w:line="252" w:lineRule="auto"/>
      </w:pPr>
      <w:r>
        <w:rPr>
          <w:rFonts w:ascii="Arial" w:hAnsi="Arial"/>
          <w:color w:val="111111"/>
        </w:rPr>
        <w:t>Appendix A: Raw Data vs. Clean Data</w:t>
      </w:r>
    </w:p>
    <w:p>
      <w:pPr>
        <w:keepNext w:val="0"/>
        <w:widowControl/>
        <w:numPr>
          <w:ilvl w:val="0"/>
          <w:numId w:val="10"/>
        </w:numPr>
        <w:pStyle w:val="ListBullet"/>
        <w:spacing w:before="0" w:after="40" w:line="252" w:lineRule="auto"/>
      </w:pPr>
      <w:r>
        <w:rPr>
          <w:rFonts w:ascii="Arial" w:hAnsi="Arial"/>
          <w:color w:val="111111"/>
        </w:rPr>
        <w:t>Appendix B: Data Cleaning Rules</w:t>
      </w:r>
    </w:p>
    <w:p>
      <w:pPr>
        <w:keepNext w:val="0"/>
        <w:widowControl/>
        <w:numPr>
          <w:ilvl w:val="0"/>
          <w:numId w:val="10"/>
        </w:numPr>
        <w:pStyle w:val="ListBullet"/>
        <w:spacing w:before="0" w:after="40" w:line="252" w:lineRule="auto"/>
      </w:pPr>
      <w:r>
        <w:rPr>
          <w:rFonts w:ascii="Arial" w:hAnsi="Arial"/>
          <w:color w:val="111111"/>
        </w:rPr>
        <w:t>Appendix C: Common Data Organization Problems</w:t>
      </w:r>
    </w:p>
    <w:p>
      <w:pPr>
        <w:pStyle w:val="Heading2"/>
        <w:keepNext/>
        <w:widowControl/>
        <w:spacing w:before="220" w:after="80" w:line="240" w:lineRule="auto"/>
      </w:pPr>
      <w:r>
        <w:rPr>
          <w:rFonts w:ascii="Arial" w:hAnsi="Arial"/>
          <w:b/>
          <w:color w:val="E31B23"/>
        </w:rPr>
        <w:t>Suggested Weekly Flow</w:t>
      </w:r>
    </w:p>
    <w:p>
      <w:pPr>
        <w:pStyle w:val="Heading3"/>
        <w:keepNext/>
        <w:widowControl/>
        <w:spacing w:before="140" w:after="40" w:line="240" w:lineRule="auto"/>
      </w:pPr>
      <w:r>
        <w:rPr>
          <w:rFonts w:ascii="Arial" w:hAnsi="Arial"/>
          <w:b/>
          <w:color w:val="111111"/>
        </w:rPr>
        <w:t>Day 1: Raw Data Inventory</w:t>
      </w:r>
    </w:p>
    <w:p>
      <w:pPr>
        <w:keepNext w:val="0"/>
        <w:widowControl/>
        <w:spacing w:before="0" w:after="80" w:line="252" w:lineRule="auto"/>
      </w:pPr>
      <w:r>
        <w:rPr>
          <w:rFonts w:ascii="Arial" w:hAnsi="Arial"/>
          <w:color w:val="111111"/>
        </w:rPr>
        <w:t>Begin with this prompt:</w:t>
      </w:r>
    </w:p>
    <w:p>
      <w:pPr>
        <w:keepNext w:val="0"/>
        <w:widowControl/>
        <w:spacing w:before="0" w:after="80" w:line="252" w:lineRule="auto"/>
      </w:pPr>
      <w:r>
        <w:rPr>
          <w:rFonts w:ascii="Arial" w:hAnsi="Arial"/>
          <w:color w:val="111111"/>
        </w:rPr>
        <w:t>“If someone else opened your data file right now, would they understand what each number, label, image, trial, or observation means?”</w:t>
      </w:r>
    </w:p>
    <w:p>
      <w:pPr>
        <w:keepNext w:val="0"/>
        <w:widowControl/>
        <w:spacing w:before="0" w:after="80" w:line="252" w:lineRule="auto"/>
      </w:pPr>
      <w:r>
        <w:rPr>
          <w:rFonts w:ascii="Arial" w:hAnsi="Arial"/>
          <w:color w:val="111111"/>
        </w:rPr>
        <w:t>Students complete Student Handout 1: Raw Data Inventory.</w:t>
      </w:r>
    </w:p>
    <w:p>
      <w:pPr>
        <w:keepNext w:val="0"/>
        <w:widowControl/>
        <w:spacing w:before="0" w:after="80" w:line="252" w:lineRule="auto"/>
      </w:pPr>
      <w:r>
        <w:rPr>
          <w:rFonts w:ascii="Arial" w:hAnsi="Arial"/>
          <w:color w:val="111111"/>
        </w:rPr>
        <w:t>They identify every location where project evidence exists:</w:t>
      </w:r>
    </w:p>
    <w:p>
      <w:pPr>
        <w:keepNext w:val="0"/>
        <w:widowControl/>
        <w:spacing w:before="0" w:after="80" w:line="252" w:lineRule="auto"/>
      </w:pPr>
      <w:r>
        <w:rPr>
          <w:rFonts w:ascii="Arial" w:hAnsi="Arial"/>
          <w:color w:val="111111"/>
        </w:rPr>
        <w:t>Research journal</w:t>
      </w:r>
    </w:p>
    <w:p>
      <w:pPr>
        <w:keepNext w:val="0"/>
        <w:widowControl/>
        <w:spacing w:before="0" w:after="80" w:line="252" w:lineRule="auto"/>
      </w:pPr>
      <w:r>
        <w:rPr>
          <w:rFonts w:ascii="Arial" w:hAnsi="Arial"/>
          <w:color w:val="111111"/>
        </w:rPr>
        <w:t>Google Sheets or Excel files</w:t>
      </w:r>
    </w:p>
    <w:p>
      <w:pPr>
        <w:keepNext w:val="0"/>
        <w:widowControl/>
        <w:spacing w:before="0" w:after="80" w:line="252" w:lineRule="auto"/>
      </w:pPr>
      <w:r>
        <w:rPr>
          <w:rFonts w:ascii="Arial" w:hAnsi="Arial"/>
          <w:color w:val="111111"/>
        </w:rPr>
        <w:t>Photos or videos</w:t>
      </w:r>
    </w:p>
    <w:p>
      <w:pPr>
        <w:keepNext w:val="0"/>
        <w:widowControl/>
        <w:spacing w:before="0" w:after="80" w:line="252" w:lineRule="auto"/>
      </w:pPr>
      <w:r>
        <w:rPr>
          <w:rFonts w:ascii="Arial" w:hAnsi="Arial"/>
          <w:color w:val="111111"/>
        </w:rPr>
        <w:t>Sensor exports</w:t>
      </w:r>
    </w:p>
    <w:p>
      <w:pPr>
        <w:keepNext w:val="0"/>
        <w:widowControl/>
        <w:spacing w:before="0" w:after="80" w:line="252" w:lineRule="auto"/>
      </w:pPr>
      <w:r>
        <w:rPr>
          <w:rFonts w:ascii="Arial" w:hAnsi="Arial"/>
          <w:color w:val="111111"/>
        </w:rPr>
        <w:t>Prototype notes</w:t>
      </w:r>
    </w:p>
    <w:p>
      <w:pPr>
        <w:keepNext w:val="0"/>
        <w:widowControl/>
        <w:spacing w:before="0" w:after="80" w:line="252" w:lineRule="auto"/>
      </w:pPr>
      <w:r>
        <w:rPr>
          <w:rFonts w:ascii="Arial" w:hAnsi="Arial"/>
          <w:color w:val="111111"/>
        </w:rPr>
        <w:t>Survey exports, if approved</w:t>
      </w:r>
    </w:p>
    <w:p>
      <w:pPr>
        <w:keepNext w:val="0"/>
        <w:widowControl/>
        <w:spacing w:before="0" w:after="80" w:line="252" w:lineRule="auto"/>
      </w:pPr>
      <w:r>
        <w:rPr>
          <w:rFonts w:ascii="Arial" w:hAnsi="Arial"/>
          <w:color w:val="111111"/>
        </w:rPr>
        <w:t>Code outputs</w:t>
      </w:r>
    </w:p>
    <w:p>
      <w:pPr>
        <w:keepNext w:val="0"/>
        <w:widowControl/>
        <w:spacing w:before="0" w:after="80" w:line="252" w:lineRule="auto"/>
      </w:pPr>
      <w:r>
        <w:rPr>
          <w:rFonts w:ascii="Arial" w:hAnsi="Arial"/>
          <w:color w:val="111111"/>
        </w:rPr>
        <w:t>Email or mentor notes</w:t>
      </w:r>
    </w:p>
    <w:p>
      <w:pPr>
        <w:keepNext w:val="0"/>
        <w:widowControl/>
        <w:spacing w:before="0" w:after="80" w:line="252" w:lineRule="auto"/>
      </w:pPr>
      <w:r>
        <w:rPr>
          <w:rFonts w:ascii="Arial" w:hAnsi="Arial"/>
          <w:color w:val="111111"/>
        </w:rPr>
        <w:t>Physical notebook pages</w:t>
      </w:r>
    </w:p>
    <w:p>
      <w:pPr>
        <w:keepNext w:val="0"/>
        <w:widowControl/>
        <w:spacing w:before="0" w:after="80" w:line="252" w:lineRule="auto"/>
      </w:pPr>
      <w:r>
        <w:rPr>
          <w:rFonts w:ascii="Arial" w:hAnsi="Arial"/>
          <w:color w:val="111111"/>
        </w:rPr>
        <w:t>Students should confirm that raw data are preserved before making edits.</w:t>
      </w:r>
    </w:p>
    <w:p>
      <w:pPr>
        <w:pStyle w:val="Heading3"/>
        <w:keepNext/>
        <w:widowControl/>
        <w:spacing w:before="140" w:after="40" w:line="240" w:lineRule="auto"/>
      </w:pPr>
      <w:r>
        <w:rPr>
          <w:rFonts w:ascii="Arial" w:hAnsi="Arial"/>
          <w:b/>
          <w:color w:val="111111"/>
        </w:rPr>
        <w:t>Day 2: Creating a Clean Data Set</w:t>
      </w:r>
    </w:p>
    <w:p>
      <w:pPr>
        <w:keepNext w:val="0"/>
        <w:widowControl/>
        <w:spacing w:before="0" w:after="80" w:line="252" w:lineRule="auto"/>
      </w:pPr>
      <w:r>
        <w:rPr>
          <w:rFonts w:ascii="Arial" w:hAnsi="Arial"/>
          <w:color w:val="111111"/>
        </w:rPr>
        <w:t>Teach students that clean data are organized copies prepared for analysis. Cleaning does not mean changing results to make them better. It means labeling, organizing, flagging, and preparing the data so that analysis is possible.</w:t>
      </w:r>
    </w:p>
    <w:p>
      <w:pPr>
        <w:keepNext w:val="0"/>
        <w:widowControl/>
        <w:spacing w:before="0" w:after="80" w:line="252" w:lineRule="auto"/>
      </w:pPr>
      <w:r>
        <w:rPr>
          <w:rFonts w:ascii="Arial" w:hAnsi="Arial"/>
          <w:color w:val="111111"/>
        </w:rPr>
        <w:t>Students complete Student Handout 2.</w:t>
      </w:r>
    </w:p>
    <w:p>
      <w:pPr>
        <w:keepNext w:val="0"/>
        <w:widowControl/>
        <w:spacing w:before="0" w:after="80" w:line="252" w:lineRule="auto"/>
      </w:pPr>
      <w:r>
        <w:rPr>
          <w:rFonts w:ascii="Arial" w:hAnsi="Arial"/>
          <w:color w:val="111111"/>
        </w:rPr>
        <w:t>Clean data should include:</w:t>
      </w:r>
    </w:p>
    <w:p>
      <w:pPr>
        <w:keepNext w:val="0"/>
        <w:widowControl/>
        <w:spacing w:before="0" w:after="80" w:line="252" w:lineRule="auto"/>
      </w:pPr>
      <w:r>
        <w:rPr>
          <w:rFonts w:ascii="Arial" w:hAnsi="Arial"/>
          <w:color w:val="111111"/>
        </w:rPr>
        <w:t>Clear column titles</w:t>
      </w:r>
    </w:p>
    <w:p>
      <w:pPr>
        <w:keepNext w:val="0"/>
        <w:widowControl/>
        <w:spacing w:before="0" w:after="80" w:line="252" w:lineRule="auto"/>
      </w:pPr>
      <w:r>
        <w:rPr>
          <w:rFonts w:ascii="Arial" w:hAnsi="Arial"/>
          <w:color w:val="111111"/>
        </w:rPr>
        <w:t>Units</w:t>
      </w:r>
    </w:p>
    <w:p>
      <w:pPr>
        <w:keepNext w:val="0"/>
        <w:widowControl/>
        <w:spacing w:before="0" w:after="80" w:line="252" w:lineRule="auto"/>
      </w:pPr>
      <w:r>
        <w:rPr>
          <w:rFonts w:ascii="Arial" w:hAnsi="Arial"/>
          <w:color w:val="111111"/>
        </w:rPr>
        <w:t>Trial/sample/iteration numbers</w:t>
      </w:r>
    </w:p>
    <w:p>
      <w:pPr>
        <w:keepNext w:val="0"/>
        <w:widowControl/>
        <w:spacing w:before="0" w:after="80" w:line="252" w:lineRule="auto"/>
      </w:pPr>
      <w:r>
        <w:rPr>
          <w:rFonts w:ascii="Arial" w:hAnsi="Arial"/>
          <w:color w:val="111111"/>
        </w:rPr>
        <w:t>Conditions or categories</w:t>
      </w:r>
    </w:p>
    <w:p>
      <w:pPr>
        <w:keepNext w:val="0"/>
        <w:widowControl/>
        <w:spacing w:before="0" w:after="80" w:line="252" w:lineRule="auto"/>
      </w:pPr>
      <w:r>
        <w:rPr>
          <w:rFonts w:ascii="Arial" w:hAnsi="Arial"/>
          <w:color w:val="111111"/>
        </w:rPr>
        <w:t>Raw measurements preserved</w:t>
      </w:r>
    </w:p>
    <w:p>
      <w:pPr>
        <w:keepNext w:val="0"/>
        <w:widowControl/>
        <w:spacing w:before="0" w:after="80" w:line="252" w:lineRule="auto"/>
      </w:pPr>
      <w:r>
        <w:rPr>
          <w:rFonts w:ascii="Arial" w:hAnsi="Arial"/>
          <w:color w:val="111111"/>
        </w:rPr>
        <w:t>Calculated columns labeled separately</w:t>
      </w:r>
    </w:p>
    <w:p>
      <w:pPr>
        <w:keepNext w:val="0"/>
        <w:widowControl/>
        <w:spacing w:before="0" w:after="80" w:line="252" w:lineRule="auto"/>
      </w:pPr>
      <w:r>
        <w:rPr>
          <w:rFonts w:ascii="Arial" w:hAnsi="Arial"/>
          <w:color w:val="111111"/>
        </w:rPr>
        <w:t>Notes column for unusual events</w:t>
      </w:r>
    </w:p>
    <w:p>
      <w:pPr>
        <w:keepNext w:val="0"/>
        <w:widowControl/>
        <w:spacing w:before="0" w:after="80" w:line="252" w:lineRule="auto"/>
      </w:pPr>
      <w:r>
        <w:rPr>
          <w:rFonts w:ascii="Arial" w:hAnsi="Arial"/>
          <w:color w:val="111111"/>
        </w:rPr>
        <w:t>Flags for questionable data</w:t>
      </w:r>
    </w:p>
    <w:p>
      <w:pPr>
        <w:pStyle w:val="Heading3"/>
        <w:keepNext/>
        <w:widowControl/>
        <w:spacing w:before="140" w:after="40" w:line="240" w:lineRule="auto"/>
      </w:pPr>
      <w:r>
        <w:rPr>
          <w:rFonts w:ascii="Arial" w:hAnsi="Arial"/>
          <w:b/>
          <w:color w:val="111111"/>
        </w:rPr>
        <w:t>Day 3: Data Cleaning Decisions</w:t>
      </w:r>
    </w:p>
    <w:p>
      <w:pPr>
        <w:keepNext w:val="0"/>
        <w:widowControl/>
        <w:spacing w:before="0" w:after="80" w:line="252" w:lineRule="auto"/>
      </w:pPr>
      <w:r>
        <w:rPr>
          <w:rFonts w:ascii="Arial" w:hAnsi="Arial"/>
          <w:color w:val="111111"/>
        </w:rPr>
        <w:t>Students complete Student Handout 3: Data Cleaning Decision Log.</w:t>
      </w:r>
    </w:p>
    <w:p>
      <w:pPr>
        <w:keepNext w:val="0"/>
        <w:widowControl/>
        <w:spacing w:before="0" w:after="80" w:line="252" w:lineRule="auto"/>
      </w:pPr>
      <w:r>
        <w:rPr>
          <w:rFonts w:ascii="Arial" w:hAnsi="Arial"/>
          <w:color w:val="111111"/>
        </w:rPr>
        <w:t>They should document any decision to:</w:t>
      </w:r>
    </w:p>
    <w:p>
      <w:pPr>
        <w:keepNext w:val="0"/>
        <w:widowControl/>
        <w:spacing w:before="0" w:after="80" w:line="252" w:lineRule="auto"/>
      </w:pPr>
      <w:r>
        <w:rPr>
          <w:rFonts w:ascii="Arial" w:hAnsi="Arial"/>
          <w:color w:val="111111"/>
        </w:rPr>
        <w:t>Correct a label</w:t>
      </w:r>
    </w:p>
    <w:p>
      <w:pPr>
        <w:keepNext w:val="0"/>
        <w:widowControl/>
        <w:spacing w:before="0" w:after="80" w:line="252" w:lineRule="auto"/>
      </w:pPr>
      <w:r>
        <w:rPr>
          <w:rFonts w:ascii="Arial" w:hAnsi="Arial"/>
          <w:color w:val="111111"/>
        </w:rPr>
        <w:t>Standardize units</w:t>
      </w:r>
    </w:p>
    <w:p>
      <w:pPr>
        <w:keepNext w:val="0"/>
        <w:widowControl/>
        <w:spacing w:before="0" w:after="80" w:line="252" w:lineRule="auto"/>
      </w:pPr>
      <w:r>
        <w:rPr>
          <w:rFonts w:ascii="Arial" w:hAnsi="Arial"/>
          <w:color w:val="111111"/>
        </w:rPr>
        <w:t>Remove duplicate accidental entries</w:t>
      </w:r>
    </w:p>
    <w:p>
      <w:pPr>
        <w:keepNext w:val="0"/>
        <w:widowControl/>
        <w:spacing w:before="0" w:after="80" w:line="252" w:lineRule="auto"/>
      </w:pPr>
      <w:r>
        <w:rPr>
          <w:rFonts w:ascii="Arial" w:hAnsi="Arial"/>
          <w:color w:val="111111"/>
        </w:rPr>
        <w:t>Flag questionable data</w:t>
      </w:r>
    </w:p>
    <w:p>
      <w:pPr>
        <w:keepNext w:val="0"/>
        <w:widowControl/>
        <w:spacing w:before="0" w:after="80" w:line="252" w:lineRule="auto"/>
      </w:pPr>
      <w:r>
        <w:rPr>
          <w:rFonts w:ascii="Arial" w:hAnsi="Arial"/>
          <w:color w:val="111111"/>
        </w:rPr>
        <w:t>Exclude a trial from analysis</w:t>
      </w:r>
    </w:p>
    <w:p>
      <w:pPr>
        <w:keepNext w:val="0"/>
        <w:widowControl/>
        <w:spacing w:before="0" w:after="80" w:line="252" w:lineRule="auto"/>
      </w:pPr>
      <w:r>
        <w:rPr>
          <w:rFonts w:ascii="Arial" w:hAnsi="Arial"/>
          <w:color w:val="111111"/>
        </w:rPr>
        <w:t>Keep an outlier</w:t>
      </w:r>
    </w:p>
    <w:p>
      <w:pPr>
        <w:keepNext w:val="0"/>
        <w:widowControl/>
        <w:spacing w:before="0" w:after="80" w:line="252" w:lineRule="auto"/>
      </w:pPr>
      <w:r>
        <w:rPr>
          <w:rFonts w:ascii="Arial" w:hAnsi="Arial"/>
          <w:color w:val="111111"/>
        </w:rPr>
        <w:t>Separate raw and calculated columns</w:t>
      </w:r>
    </w:p>
    <w:p>
      <w:pPr>
        <w:keepNext w:val="0"/>
        <w:widowControl/>
        <w:spacing w:before="0" w:after="80" w:line="252" w:lineRule="auto"/>
      </w:pPr>
      <w:r>
        <w:rPr>
          <w:rFonts w:ascii="Arial" w:hAnsi="Arial"/>
          <w:color w:val="111111"/>
        </w:rPr>
        <w:t>Combine data from multiple sheets</w:t>
      </w:r>
    </w:p>
    <w:p>
      <w:pPr>
        <w:keepNext w:val="0"/>
        <w:widowControl/>
        <w:spacing w:before="0" w:after="80" w:line="252" w:lineRule="auto"/>
      </w:pPr>
      <w:r>
        <w:rPr>
          <w:rFonts w:ascii="Arial" w:hAnsi="Arial"/>
          <w:color w:val="111111"/>
        </w:rPr>
        <w:t>Teacher note:</w:t>
      </w:r>
    </w:p>
    <w:p>
      <w:pPr>
        <w:keepNext w:val="0"/>
        <w:widowControl/>
        <w:spacing w:before="0" w:after="80" w:line="252" w:lineRule="auto"/>
      </w:pPr>
      <w:r>
        <w:rPr>
          <w:rFonts w:ascii="Arial" w:hAnsi="Arial"/>
          <w:color w:val="111111"/>
        </w:rPr>
        <w:t>Students should not exclude data simply because it does not support their hypothesis. Any exclusion requires a documented reason, such as a known procedural error, instrument failure, or incomplete trial.</w:t>
      </w:r>
    </w:p>
    <w:p>
      <w:pPr>
        <w:pStyle w:val="Heading3"/>
        <w:keepNext/>
        <w:widowControl/>
        <w:spacing w:before="140" w:after="40" w:line="240" w:lineRule="auto"/>
      </w:pPr>
      <w:r>
        <w:rPr>
          <w:rFonts w:ascii="Arial" w:hAnsi="Arial"/>
          <w:b/>
          <w:color w:val="111111"/>
        </w:rPr>
        <w:t>Day 4: Missing and Questionable Data Review</w:t>
      </w:r>
    </w:p>
    <w:p>
      <w:pPr>
        <w:keepNext w:val="0"/>
        <w:widowControl/>
        <w:spacing w:before="0" w:after="80" w:line="252" w:lineRule="auto"/>
      </w:pPr>
      <w:r>
        <w:rPr>
          <w:rFonts w:ascii="Arial" w:hAnsi="Arial"/>
          <w:color w:val="111111"/>
        </w:rPr>
        <w:t>Students identify missing or questionable data.</w:t>
      </w:r>
    </w:p>
    <w:p>
      <w:pPr>
        <w:keepNext w:val="0"/>
        <w:widowControl/>
        <w:spacing w:before="0" w:after="80" w:line="252" w:lineRule="auto"/>
      </w:pPr>
      <w:r>
        <w:rPr>
          <w:rFonts w:ascii="Arial" w:hAnsi="Arial"/>
          <w:color w:val="111111"/>
        </w:rPr>
        <w:t>They should answer:</w:t>
      </w:r>
    </w:p>
    <w:p>
      <w:pPr>
        <w:keepNext w:val="0"/>
        <w:widowControl/>
        <w:spacing w:before="0" w:after="80" w:line="252" w:lineRule="auto"/>
      </w:pPr>
      <w:r>
        <w:rPr>
          <w:rFonts w:ascii="Arial" w:hAnsi="Arial"/>
          <w:color w:val="111111"/>
        </w:rPr>
        <w:t>What data are complete?</w:t>
      </w:r>
    </w:p>
    <w:p>
      <w:pPr>
        <w:keepNext w:val="0"/>
        <w:widowControl/>
        <w:spacing w:before="0" w:after="80" w:line="252" w:lineRule="auto"/>
      </w:pPr>
      <w:r>
        <w:rPr>
          <w:rFonts w:ascii="Arial" w:hAnsi="Arial"/>
          <w:color w:val="111111"/>
        </w:rPr>
        <w:t>What data are missing?</w:t>
      </w:r>
    </w:p>
    <w:p>
      <w:pPr>
        <w:keepNext w:val="0"/>
        <w:widowControl/>
        <w:spacing w:before="0" w:after="80" w:line="252" w:lineRule="auto"/>
      </w:pPr>
      <w:r>
        <w:rPr>
          <w:rFonts w:ascii="Arial" w:hAnsi="Arial"/>
          <w:color w:val="111111"/>
        </w:rPr>
        <w:t>What data are questionable?</w:t>
      </w:r>
    </w:p>
    <w:p>
      <w:pPr>
        <w:keepNext w:val="0"/>
        <w:widowControl/>
        <w:spacing w:before="0" w:after="80" w:line="252" w:lineRule="auto"/>
      </w:pPr>
      <w:r>
        <w:rPr>
          <w:rFonts w:ascii="Arial" w:hAnsi="Arial"/>
          <w:color w:val="111111"/>
        </w:rPr>
        <w:t>Can any missing data still be collected safely and realistically?</w:t>
      </w:r>
    </w:p>
    <w:p>
      <w:pPr>
        <w:keepNext w:val="0"/>
        <w:widowControl/>
        <w:spacing w:before="0" w:after="80" w:line="252" w:lineRule="auto"/>
      </w:pPr>
      <w:r>
        <w:rPr>
          <w:rFonts w:ascii="Arial" w:hAnsi="Arial"/>
          <w:color w:val="111111"/>
        </w:rPr>
        <w:t>If not, how will this limitation be described?</w:t>
      </w:r>
    </w:p>
    <w:p>
      <w:pPr>
        <w:pStyle w:val="Heading3"/>
        <w:keepNext/>
        <w:widowControl/>
        <w:spacing w:before="140" w:after="40" w:line="240" w:lineRule="auto"/>
      </w:pPr>
      <w:r>
        <w:rPr>
          <w:rFonts w:ascii="Arial" w:hAnsi="Arial"/>
          <w:b/>
          <w:color w:val="111111"/>
        </w:rPr>
        <w:t>Day 5: Week 17 Data Audit</w:t>
      </w:r>
    </w:p>
    <w:p>
      <w:pPr>
        <w:keepNext w:val="0"/>
        <w:widowControl/>
        <w:spacing w:before="0" w:after="80" w:line="252" w:lineRule="auto"/>
      </w:pPr>
      <w:r>
        <w:rPr>
          <w:rFonts w:ascii="Arial" w:hAnsi="Arial"/>
          <w:color w:val="111111"/>
        </w:rPr>
        <w:t>Students complete Student Handout 4 and submit or share their clean data set for review.</w:t>
      </w:r>
    </w:p>
    <w:p>
      <w:pPr>
        <w:keepNext w:val="0"/>
        <w:widowControl/>
        <w:spacing w:before="0" w:after="80" w:line="252" w:lineRule="auto"/>
      </w:pPr>
      <w:r>
        <w:rPr>
          <w:rFonts w:ascii="Arial" w:hAnsi="Arial"/>
          <w:color w:val="111111"/>
        </w:rPr>
        <w:t>Teacher checks:</w:t>
      </w:r>
    </w:p>
    <w:p>
      <w:pPr>
        <w:keepNext w:val="0"/>
        <w:widowControl/>
        <w:spacing w:before="0" w:after="80" w:line="252" w:lineRule="auto"/>
      </w:pPr>
      <w:r>
        <w:rPr>
          <w:rFonts w:ascii="Arial" w:hAnsi="Arial"/>
          <w:color w:val="111111"/>
        </w:rPr>
        <w:t>Raw data preserved</w:t>
      </w:r>
    </w:p>
    <w:p>
      <w:pPr>
        <w:keepNext w:val="0"/>
        <w:widowControl/>
        <w:spacing w:before="0" w:after="80" w:line="252" w:lineRule="auto"/>
      </w:pPr>
      <w:r>
        <w:rPr>
          <w:rFonts w:ascii="Arial" w:hAnsi="Arial"/>
          <w:color w:val="111111"/>
        </w:rPr>
        <w:t>Clean data copy created</w:t>
      </w:r>
    </w:p>
    <w:p>
      <w:pPr>
        <w:keepNext w:val="0"/>
        <w:widowControl/>
        <w:spacing w:before="0" w:after="80" w:line="252" w:lineRule="auto"/>
      </w:pPr>
      <w:r>
        <w:rPr>
          <w:rFonts w:ascii="Arial" w:hAnsi="Arial"/>
          <w:color w:val="111111"/>
        </w:rPr>
        <w:t>Units included</w:t>
      </w:r>
    </w:p>
    <w:p>
      <w:pPr>
        <w:keepNext w:val="0"/>
        <w:widowControl/>
        <w:spacing w:before="0" w:after="80" w:line="252" w:lineRule="auto"/>
      </w:pPr>
      <w:r>
        <w:rPr>
          <w:rFonts w:ascii="Arial" w:hAnsi="Arial"/>
          <w:color w:val="111111"/>
        </w:rPr>
        <w:t>Conditions clearly labeled</w:t>
      </w:r>
    </w:p>
    <w:p>
      <w:pPr>
        <w:keepNext w:val="0"/>
        <w:widowControl/>
        <w:spacing w:before="0" w:after="80" w:line="252" w:lineRule="auto"/>
      </w:pPr>
      <w:r>
        <w:rPr>
          <w:rFonts w:ascii="Arial" w:hAnsi="Arial"/>
          <w:color w:val="111111"/>
        </w:rPr>
        <w:t>Missing/questionable data identified</w:t>
      </w:r>
    </w:p>
    <w:p>
      <w:pPr>
        <w:keepNext w:val="0"/>
        <w:widowControl/>
        <w:spacing w:before="0" w:after="80" w:line="252" w:lineRule="auto"/>
      </w:pPr>
      <w:r>
        <w:rPr>
          <w:rFonts w:ascii="Arial" w:hAnsi="Arial"/>
          <w:color w:val="111111"/>
        </w:rPr>
        <w:t>Cleaning decisions documented</w:t>
      </w:r>
    </w:p>
    <w:p>
      <w:pPr>
        <w:pStyle w:val="Heading2"/>
        <w:keepNext/>
        <w:widowControl/>
        <w:spacing w:before="220" w:after="80" w:line="240" w:lineRule="auto"/>
      </w:pPr>
      <w:r>
        <w:rPr>
          <w:rFonts w:ascii="Arial" w:hAnsi="Arial"/>
          <w:b/>
          <w:color w:val="E31B23"/>
        </w:rPr>
        <w:t>Week 17 Deliverables</w:t>
      </w:r>
    </w:p>
    <w:p>
      <w:pPr>
        <w:keepNext w:val="0"/>
        <w:widowControl/>
        <w:numPr>
          <w:ilvl w:val="0"/>
          <w:numId w:val="10"/>
        </w:numPr>
        <w:pStyle w:val="ListBullet"/>
        <w:spacing w:before="0" w:after="40" w:line="252" w:lineRule="auto"/>
      </w:pPr>
      <w:r>
        <w:rPr>
          <w:rFonts w:ascii="Arial" w:hAnsi="Arial"/>
          <w:color w:val="111111"/>
        </w:rPr>
        <w:t>Raw data inventory</w:t>
      </w:r>
    </w:p>
    <w:p>
      <w:pPr>
        <w:keepNext w:val="0"/>
        <w:widowControl/>
        <w:numPr>
          <w:ilvl w:val="0"/>
          <w:numId w:val="10"/>
        </w:numPr>
        <w:pStyle w:val="ListBullet"/>
        <w:spacing w:before="0" w:after="40" w:line="252" w:lineRule="auto"/>
      </w:pPr>
      <w:r>
        <w:rPr>
          <w:rFonts w:ascii="Arial" w:hAnsi="Arial"/>
          <w:color w:val="111111"/>
        </w:rPr>
        <w:t>Clean data set or organized evidence folder</w:t>
      </w:r>
    </w:p>
    <w:p>
      <w:pPr>
        <w:keepNext w:val="0"/>
        <w:widowControl/>
        <w:numPr>
          <w:ilvl w:val="0"/>
          <w:numId w:val="10"/>
        </w:numPr>
        <w:pStyle w:val="ListBullet"/>
        <w:spacing w:before="0" w:after="40" w:line="252" w:lineRule="auto"/>
      </w:pPr>
      <w:r>
        <w:rPr>
          <w:rFonts w:ascii="Arial" w:hAnsi="Arial"/>
          <w:color w:val="111111"/>
        </w:rPr>
        <w:t>Data cleaning decision log</w:t>
      </w:r>
    </w:p>
    <w:p>
      <w:pPr>
        <w:keepNext w:val="0"/>
        <w:widowControl/>
        <w:numPr>
          <w:ilvl w:val="0"/>
          <w:numId w:val="10"/>
        </w:numPr>
        <w:pStyle w:val="ListBullet"/>
        <w:spacing w:before="0" w:after="40" w:line="252" w:lineRule="auto"/>
      </w:pPr>
      <w:r>
        <w:rPr>
          <w:rFonts w:ascii="Arial" w:hAnsi="Arial"/>
          <w:color w:val="111111"/>
        </w:rPr>
        <w:t>Week 17 data audit</w:t>
      </w:r>
    </w:p>
    <w:p>
      <w:pPr>
        <w:pStyle w:val="Heading2"/>
        <w:keepNext/>
        <w:widowControl/>
        <w:spacing w:before="220" w:after="80" w:line="240" w:lineRule="auto"/>
      </w:pPr>
      <w:r>
        <w:rPr>
          <w:rFonts w:ascii="Arial" w:hAnsi="Arial"/>
          <w:b/>
          <w:color w:val="E31B23"/>
        </w:rPr>
        <w:t>Teacher Notes</w:t>
      </w:r>
    </w:p>
    <w:p>
      <w:pPr>
        <w:keepNext w:val="0"/>
        <w:widowControl/>
        <w:spacing w:before="0" w:after="80" w:line="252" w:lineRule="auto"/>
      </w:pPr>
      <w:r>
        <w:rPr>
          <w:rFonts w:ascii="Arial" w:hAnsi="Arial"/>
          <w:color w:val="111111"/>
        </w:rPr>
        <w:t>If a student’s data are too incomplete for the original project question, help them revise the analysis question rather than pretending the original plan worked perfectly. Unit 4 should produce an honest analysis of available evidence.</w:t>
      </w:r>
    </w:p>
    <w:sectPr w:rsidR="00FC693F" w:rsidRPr="0006063C" w:rsidSect="00034616">
      <w:footerReference w:type="default" r:id="rId9"/>
      <w:headerReference w:type="default" r:id="rId10"/>
      <w:pgSz w:w="12240" w:h="15840"/>
      <w:pgMar w:top="936" w:right="1080" w:bottom="864"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7"/>
      </w:rPr>
      <w:t xml:space="preserve">STARLAB | UNIT 4 | WEEK 17 | PAGE </w:t>
    </w:r>
    <w:r>
      <w:rPr>
        <w:rFonts w:ascii="Arial" w:hAnsi="Arial"/>
        <w:color w:val="55555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540" w:hanging="180"/>
      </w:pPr>
      <w:rPr>
        <w:rFonts w:ascii="Arial" w:hAnsi="Arial" w:eastAsia="Arial" w:cs="Arial"/>
        <w:sz w:val="2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2" w:lineRule="auto"/>
    </w:pPr>
    <w:rPr>
      <w:rFonts w:ascii="Arial" w:hAnsi="Arial" w:eastAsia="Arial" w:cs="Arial"/>
      <w:b w:val="0"/>
      <w:i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Arial" w:hAnsi="Arial" w:eastAsia="Arial" w:cs="Arial"/>
      <w:b w:val="0"/>
      <w:i w:val="0"/>
      <w:color w:val="555555"/>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cs="Arial"/>
      <w:b/>
      <w:bCs/>
      <w:i w:val="0"/>
      <w:color w:val="E31B23"/>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eastAsia="Arial" w:cs="Arial"/>
      <w:b/>
      <w:bCs/>
      <w:i w:val="0"/>
      <w:color w:val="E31B23"/>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eastAsia="Arial" w:cs="Arial"/>
      <w:b/>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eastAsia="Arial" w:cs="Arial"/>
      <w:b/>
      <w:i w:val="0"/>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eastAsia="Arial" w:cs="Arial"/>
      <w:b/>
      <w:i w:val="0"/>
      <w:iCs/>
      <w:color w:val="555555"/>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52" w:lineRule="auto"/>
      <w:contextualSpacing/>
    </w:pPr>
    <w:rPr>
      <w:rFonts w:ascii="Arial" w:hAnsi="Arial" w:eastAsia="Arial" w:cs="Arial"/>
      <w:b w:val="0"/>
      <w:i w:val="0"/>
      <w:color w:val="11111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52" w:lineRule="auto"/>
      <w:contextualSpacing/>
    </w:pPr>
    <w:rPr>
      <w:rFonts w:ascii="Arial" w:hAnsi="Arial" w:eastAsia="Arial" w:cs="Arial"/>
      <w:b w:val="0"/>
      <w:i w:val="0"/>
      <w:color w:val="11111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 w:type="paragraph" w:customStyle="1" w:styleId="STARLABBrand">
    <w:name w:val="STARLAB Brand"/>
    <w:basedOn w:val="Normal"/>
    <w:pPr>
      <w:keepNext/>
      <w:spacing w:before="0" w:after="40"/>
    </w:pPr>
    <w:rPr>
      <w:rFonts w:ascii="Arial" w:hAnsi="Arial" w:eastAsia="Arial" w:cs="Arial"/>
      <w:b/>
      <w:i w:val="0"/>
      <w:color w:val="E31B23"/>
      <w:sz w:val="21"/>
    </w:rPr>
  </w:style>
  <w:style w:type="paragraph" w:customStyle="1" w:styleId="STARLABWeekTitle">
    <w:name w:val="STARLAB Week Title"/>
    <w:basedOn w:val="Normal"/>
    <w:pPr>
      <w:keepNext/>
      <w:spacing w:before="0" w:after="80" w:line="240" w:lineRule="auto"/>
    </w:pPr>
    <w:rPr>
      <w:rFonts w:ascii="Arial" w:hAnsi="Arial" w:eastAsia="Arial" w:cs="Arial"/>
      <w:b/>
      <w:i w:val="0"/>
      <w:color w:val="111111"/>
      <w:sz w:val="48"/>
    </w:rPr>
  </w:style>
  <w:style w:type="paragraph" w:customStyle="1" w:styleId="STARLABGuideSubtitle">
    <w:name w:val="STARLAB Guide Subtitle"/>
    <w:basedOn w:val="Normal"/>
    <w:pPr>
      <w:keepNext/>
      <w:spacing w:before="0" w:after="260"/>
    </w:pPr>
    <w:rPr>
      <w:rFonts w:ascii="Arial" w:hAnsi="Arial" w:eastAsia="Arial" w:cs="Arial"/>
      <w:b/>
      <w:i w:val="0"/>
      <w:color w:val="555555"/>
      <w:sz w:val="21"/>
    </w:rPr>
  </w:style>
  <w:style w:type="paragraph" w:customStyle="1" w:styleId="STARLABLabel">
    <w:name w:val="STARLAB Label"/>
    <w:basedOn w:val="Normal"/>
    <w:pPr>
      <w:keepNext/>
      <w:spacing w:before="80" w:after="20"/>
    </w:pPr>
    <w:rPr>
      <w:rFonts w:ascii="Arial" w:hAnsi="Arial" w:eastAsia="Arial" w:cs="Arial"/>
      <w:b/>
      <w:i w:val="0"/>
      <w:color w:val="111111"/>
      <w:sz w:val="20"/>
    </w:rPr>
  </w:style>
  <w:style w:type="paragraph" w:customStyle="1" w:styleId="STARLABDeckUse">
    <w:name w:val="STARLAB Deck Use"/>
    <w:basedOn w:val="Normal"/>
    <w:pPr>
      <w:keepLines/>
      <w:spacing w:before="40" w:after="140"/>
      <w:ind w:left="187" w:right="115"/>
    </w:pPr>
    <w:rPr>
      <w:rFonts w:ascii="Arial" w:hAnsi="Arial" w:eastAsia="Arial" w:cs="Arial"/>
      <w:b w:val="0"/>
      <w:i w:val="0"/>
      <w:color w:val="111111"/>
      <w:sz w:val="20"/>
    </w:rPr>
  </w:style>
  <w:style w:type="character" w:customStyle="1" w:styleId="Hyperlink">
    <w:name w:val="Hyperlink"/>
    <w:rPr>
      <w:rFonts w:ascii="Arial" w:hAnsi="Arial" w:eastAsia="Arial" w:cs="Arial"/>
      <w:b w:val="0"/>
      <w:i w:val="0"/>
      <w:color w:val="E31B23"/>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555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999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9999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pBdr>
        <w:bottom w:val="single" w:sz="8" w:space="4" w:color="999999"/>
      </w:pBdr>
      <w:spacing w:after="300" w:line="240" w:lineRule="auto"/>
      <w:contextualSpacing/>
    </w:pPr>
    <w:rPr>
      <w:rFonts w:asciiTheme="majorHAnsi" w:eastAsiaTheme="majorEastAsia" w:hAnsiTheme="majorHAnsi" w:cstheme="majorBidi"/>
      <w:color w:val="5555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99999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55555"/>
      </a:dk2>
      <a:lt2>
        <a:srgbClr val="E6E6E6"/>
      </a:lt2>
      <a:accent1>
        <a:srgbClr val="999999"/>
      </a:accent1>
      <a:accent2>
        <a:srgbClr val="E31B23"/>
      </a:accent2>
      <a:accent3>
        <a:srgbClr val="999999"/>
      </a:accent3>
      <a:accent4>
        <a:srgbClr val="999999"/>
      </a:accent4>
      <a:accent5>
        <a:srgbClr val="999999"/>
      </a:accent5>
      <a:accent6>
        <a:srgbClr val="999999"/>
      </a:accent6>
      <a:hlink>
        <a:srgbClr val="555555"/>
      </a:hlink>
      <a:folHlink>
        <a:srgbClr val="55555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17: Data Organization, Cleaning, and Audit</dc:title>
  <dc:subject>STARLAB Unit 4 weekly teaching guide</dc:subject>
  <dc:creator>python-docx</dc:creator>
  <cp:keywords>STARLAB, Unit 4, Week 17, weekly teaching guide, teacher</cp:keywords>
  <dc:description>generated by python-docx</dc:description>
  <cp:lastModifiedBy/>
  <cp:revision>1</cp:revision>
  <dcterms:created xsi:type="dcterms:W3CDTF">2013-12-23T23:15:00Z</dcterms:created>
  <dcterms:modified xsi:type="dcterms:W3CDTF">2013-12-23T23:15:00Z</dcterms:modified>
  <cp:category/>
</cp:coreProperties>
</file>