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ARLABBrand"/>
        <w:keepNext/>
        <w:widowControl/>
        <w:spacing w:before="0" w:after="40" w:line="240" w:lineRule="auto"/>
      </w:pPr>
      <w:r>
        <w:rPr>
          <w:rFonts w:ascii="Arial" w:hAnsi="Arial"/>
          <w:b/>
          <w:color w:val="E31B23"/>
        </w:rPr>
        <w:t>STARLAB</w:t>
      </w:r>
    </w:p>
    <w:p>
      <w:pPr>
        <w:pStyle w:val="STARLABWeekTitle"/>
        <w:keepNext/>
        <w:widowControl/>
        <w:spacing w:before="0" w:after="80" w:line="240" w:lineRule="auto"/>
      </w:pPr>
      <w:r>
        <w:rPr>
          <w:rFonts w:ascii="Arial" w:hAnsi="Arial"/>
          <w:b/>
          <w:color w:val="111111"/>
        </w:rPr>
        <w:t>Week 19: Graphs, Tables, Visuals, and Error/Uncertainty</w:t>
      </w:r>
    </w:p>
    <w:p>
      <w:pPr>
        <w:pStyle w:val="STARLABGuideSubtitle"/>
        <w:keepNext/>
        <w:widowControl/>
        <w:pBdr>
          <w:bottom w:val="single" w:sz="14" w:space="5" w:color="E31B23"/>
        </w:pBdr>
        <w:spacing w:before="0" w:after="260" w:line="240" w:lineRule="auto"/>
      </w:pPr>
      <w:r>
        <w:rPr>
          <w:rFonts w:ascii="Arial" w:hAnsi="Arial"/>
          <w:color w:val="555555"/>
        </w:rPr>
        <w:t>STARLAB Unit 4 Teaching Guide</w:t>
      </w:r>
    </w:p>
    <w:p>
      <w:pPr>
        <w:pStyle w:val="Heading2"/>
        <w:keepNext/>
        <w:widowControl/>
        <w:spacing w:before="220" w:after="80" w:line="240" w:lineRule="auto"/>
      </w:pPr>
      <w:r>
        <w:rPr>
          <w:rFonts w:ascii="Arial" w:hAnsi="Arial"/>
          <w:b/>
          <w:color w:val="E31B23"/>
        </w:rPr>
        <w:t>Teacher Overview</w:t>
      </w:r>
    </w:p>
    <w:p>
      <w:pPr>
        <w:keepNext w:val="0"/>
        <w:widowControl/>
        <w:spacing w:before="0" w:after="80" w:line="252" w:lineRule="auto"/>
      </w:pPr>
      <w:r>
        <w:rPr>
          <w:rFonts w:ascii="Arial" w:hAnsi="Arial"/>
          <w:color w:val="111111"/>
        </w:rPr>
        <w:t>Week 19 focuses on visualizing evidence and evaluating uncertainty. Students should create graphs, tables, images, or diagrams that accurately represent their findings. They should also consider how error, variability, limitations, and uncertainty affect the strength of their claims.</w:t>
      </w:r>
    </w:p>
    <w:p>
      <w:pPr>
        <w:keepNext w:val="0"/>
        <w:widowControl/>
        <w:spacing w:before="0" w:after="80" w:line="252" w:lineRule="auto"/>
      </w:pPr>
      <w:r>
        <w:rPr>
          <w:rFonts w:ascii="Arial" w:hAnsi="Arial"/>
          <w:color w:val="111111"/>
        </w:rPr>
        <w:t>Students often view graphs as decoration. This week should frame graphs as tools for scientific thinking.</w:t>
      </w:r>
    </w:p>
    <w:p>
      <w:pPr>
        <w:pStyle w:val="Heading2"/>
        <w:keepNext/>
        <w:widowControl/>
        <w:spacing w:before="220" w:after="80" w:line="240" w:lineRule="auto"/>
      </w:pPr>
      <w:r>
        <w:rPr>
          <w:rFonts w:ascii="Arial" w:hAnsi="Arial"/>
          <w:b/>
          <w:color w:val="E31B23"/>
        </w:rPr>
        <w:t>Weekly Objectives</w:t>
      </w:r>
    </w:p>
    <w:p>
      <w:pPr>
        <w:pStyle w:val="STARLABLabel"/>
        <w:keepNext/>
        <w:widowControl/>
        <w:spacing w:before="80" w:after="20" w:line="240" w:lineRule="auto"/>
      </w:pPr>
      <w:r>
        <w:rPr>
          <w:rFonts w:ascii="Arial" w:hAnsi="Arial"/>
          <w:b/>
          <w:color w:val="111111"/>
        </w:rPr>
        <w:t>Students will be able to:</w:t>
      </w:r>
    </w:p>
    <w:p>
      <w:pPr>
        <w:keepNext w:val="0"/>
        <w:widowControl/>
        <w:numPr>
          <w:ilvl w:val="0"/>
          <w:numId w:val="10"/>
        </w:numPr>
        <w:pStyle w:val="ListBullet"/>
        <w:spacing w:before="0" w:after="40" w:line="252" w:lineRule="auto"/>
      </w:pPr>
      <w:r>
        <w:rPr>
          <w:rFonts w:ascii="Arial" w:hAnsi="Arial"/>
          <w:color w:val="111111"/>
        </w:rPr>
        <w:t>Select appropriate visual formats for their data.</w:t>
      </w:r>
    </w:p>
    <w:p>
      <w:pPr>
        <w:keepNext w:val="0"/>
        <w:widowControl/>
        <w:numPr>
          <w:ilvl w:val="0"/>
          <w:numId w:val="10"/>
        </w:numPr>
        <w:pStyle w:val="ListBullet"/>
        <w:spacing w:before="0" w:after="40" w:line="252" w:lineRule="auto"/>
      </w:pPr>
      <w:r>
        <w:rPr>
          <w:rFonts w:ascii="Arial" w:hAnsi="Arial"/>
          <w:color w:val="111111"/>
        </w:rPr>
        <w:t>Create clear and accurate graphs, tables, or visual evidence displays.</w:t>
      </w:r>
    </w:p>
    <w:p>
      <w:pPr>
        <w:keepNext w:val="0"/>
        <w:widowControl/>
        <w:numPr>
          <w:ilvl w:val="0"/>
          <w:numId w:val="10"/>
        </w:numPr>
        <w:pStyle w:val="ListBullet"/>
        <w:spacing w:before="0" w:after="40" w:line="252" w:lineRule="auto"/>
      </w:pPr>
      <w:r>
        <w:rPr>
          <w:rFonts w:ascii="Arial" w:hAnsi="Arial"/>
          <w:color w:val="111111"/>
        </w:rPr>
        <w:t>Include titles, labels, units, legends, and captions.</w:t>
      </w:r>
    </w:p>
    <w:p>
      <w:pPr>
        <w:keepNext w:val="0"/>
        <w:widowControl/>
        <w:numPr>
          <w:ilvl w:val="0"/>
          <w:numId w:val="10"/>
        </w:numPr>
        <w:pStyle w:val="ListBullet"/>
        <w:spacing w:before="0" w:after="40" w:line="252" w:lineRule="auto"/>
      </w:pPr>
      <w:r>
        <w:rPr>
          <w:rFonts w:ascii="Arial" w:hAnsi="Arial"/>
          <w:color w:val="111111"/>
        </w:rPr>
        <w:t>Identify sources of error, uncertainty, variability, and limitations.</w:t>
      </w:r>
    </w:p>
    <w:p>
      <w:pPr>
        <w:keepNext w:val="0"/>
        <w:widowControl/>
        <w:numPr>
          <w:ilvl w:val="0"/>
          <w:numId w:val="10"/>
        </w:numPr>
        <w:pStyle w:val="ListBullet"/>
        <w:spacing w:before="0" w:after="40" w:line="252" w:lineRule="auto"/>
      </w:pPr>
      <w:r>
        <w:rPr>
          <w:rFonts w:ascii="Arial" w:hAnsi="Arial"/>
          <w:color w:val="111111"/>
        </w:rPr>
        <w:t>Decide whether error bars or other uncertainty representations are appropriate.</w:t>
      </w:r>
    </w:p>
    <w:p>
      <w:pPr>
        <w:pStyle w:val="Heading2"/>
        <w:keepNext/>
        <w:widowControl/>
        <w:spacing w:before="220" w:after="80" w:line="240" w:lineRule="auto"/>
      </w:pPr>
      <w:r>
        <w:rPr>
          <w:rFonts w:ascii="Arial" w:hAnsi="Arial"/>
          <w:b/>
          <w:color w:val="E31B23"/>
        </w:rPr>
        <w:t>Teacher Materials</w:t>
      </w:r>
    </w:p>
    <w:p>
      <w:pPr>
        <w:pStyle w:val="STARLABDeckUse"/>
        <w:shd w:val="clear" w:color="auto" w:fill="F2F2F2"/>
        <w:keepNext w:val="0"/>
        <w:widowControl/>
        <w:pBdr>
          <w:left w:val="single" w:sz="18" w:space="6" w:color="E31B23"/>
        </w:pBdr>
        <w:spacing w:before="40" w:after="140" w:line="252" w:lineRule="auto"/>
      </w:pPr>
      <w:r>
        <w:rPr>
          <w:rFonts w:ascii="Arial" w:hAnsi="Arial"/>
          <w:color w:val="111111"/>
        </w:rPr>
        <w:t>Deck Use: Primary - Deck 11: Graphing and Visual Ethics; Deck 12: Error, Uncertainty, and Limitations</w:t>
      </w:r>
    </w:p>
    <w:p>
      <w:pPr>
        <w:keepNext w:val="0"/>
        <w:widowControl/>
        <w:numPr>
          <w:ilvl w:val="0"/>
          <w:numId w:val="10"/>
        </w:numPr>
        <w:pStyle w:val="ListBullet"/>
        <w:spacing w:before="0" w:after="40" w:line="252" w:lineRule="auto"/>
      </w:pPr>
      <w:r>
        <w:rPr>
          <w:rFonts w:ascii="Arial" w:hAnsi="Arial"/>
          <w:color w:val="111111"/>
        </w:rPr>
        <w:t>Student Handout 9: Graph and Visual Selection Tool</w:t>
      </w:r>
    </w:p>
    <w:p>
      <w:pPr>
        <w:keepNext w:val="0"/>
        <w:widowControl/>
        <w:numPr>
          <w:ilvl w:val="0"/>
          <w:numId w:val="10"/>
        </w:numPr>
        <w:pStyle w:val="ListBullet"/>
        <w:spacing w:before="0" w:after="40" w:line="252" w:lineRule="auto"/>
      </w:pPr>
      <w:r>
        <w:rPr>
          <w:rFonts w:ascii="Arial" w:hAnsi="Arial"/>
          <w:color w:val="111111"/>
        </w:rPr>
        <w:t>Student Handout 10: Graph Construction Checklist</w:t>
      </w:r>
    </w:p>
    <w:p>
      <w:pPr>
        <w:keepNext w:val="0"/>
        <w:widowControl/>
        <w:numPr>
          <w:ilvl w:val="0"/>
          <w:numId w:val="10"/>
        </w:numPr>
        <w:pStyle w:val="ListBullet"/>
        <w:spacing w:before="0" w:after="40" w:line="252" w:lineRule="auto"/>
      </w:pPr>
      <w:r>
        <w:rPr>
          <w:rFonts w:ascii="Arial" w:hAnsi="Arial"/>
          <w:color w:val="111111"/>
        </w:rPr>
        <w:t>Student Handout 11: Error, Uncertainty, and Limitations Review</w:t>
      </w:r>
    </w:p>
    <w:p>
      <w:pPr>
        <w:keepNext w:val="0"/>
        <w:widowControl/>
        <w:numPr>
          <w:ilvl w:val="0"/>
          <w:numId w:val="10"/>
        </w:numPr>
        <w:pStyle w:val="ListBullet"/>
        <w:spacing w:before="0" w:after="40" w:line="252" w:lineRule="auto"/>
      </w:pPr>
      <w:r>
        <w:rPr>
          <w:rFonts w:ascii="Arial" w:hAnsi="Arial"/>
          <w:color w:val="111111"/>
        </w:rPr>
        <w:t>Student Handout 12: Figure Caption Drafting</w:t>
      </w:r>
    </w:p>
    <w:p>
      <w:pPr>
        <w:keepNext w:val="0"/>
        <w:widowControl/>
        <w:numPr>
          <w:ilvl w:val="0"/>
          <w:numId w:val="10"/>
        </w:numPr>
        <w:pStyle w:val="ListBullet"/>
        <w:spacing w:before="0" w:after="40" w:line="252" w:lineRule="auto"/>
      </w:pPr>
      <w:r>
        <w:rPr>
          <w:rFonts w:ascii="Arial" w:hAnsi="Arial"/>
          <w:color w:val="111111"/>
        </w:rPr>
        <w:t>Appendix H: Graph Selection Guide</w:t>
      </w:r>
    </w:p>
    <w:p>
      <w:pPr>
        <w:keepNext w:val="0"/>
        <w:widowControl/>
        <w:numPr>
          <w:ilvl w:val="0"/>
          <w:numId w:val="10"/>
        </w:numPr>
        <w:pStyle w:val="ListBullet"/>
        <w:spacing w:before="0" w:after="40" w:line="252" w:lineRule="auto"/>
      </w:pPr>
      <w:r>
        <w:rPr>
          <w:rFonts w:ascii="Arial" w:hAnsi="Arial"/>
          <w:color w:val="111111"/>
        </w:rPr>
        <w:t>Appendix I: Graphing Standards</w:t>
      </w:r>
    </w:p>
    <w:p>
      <w:pPr>
        <w:keepNext w:val="0"/>
        <w:widowControl/>
        <w:numPr>
          <w:ilvl w:val="0"/>
          <w:numId w:val="10"/>
        </w:numPr>
        <w:pStyle w:val="ListBullet"/>
        <w:spacing w:before="0" w:after="40" w:line="252" w:lineRule="auto"/>
      </w:pPr>
      <w:r>
        <w:rPr>
          <w:rFonts w:ascii="Arial" w:hAnsi="Arial"/>
          <w:color w:val="111111"/>
        </w:rPr>
        <w:t>Appendix J: Error Bars and Uncertainty Basics</w:t>
      </w:r>
    </w:p>
    <w:p>
      <w:pPr>
        <w:keepNext w:val="0"/>
        <w:widowControl/>
        <w:numPr>
          <w:ilvl w:val="0"/>
          <w:numId w:val="10"/>
        </w:numPr>
        <w:pStyle w:val="ListBullet"/>
        <w:spacing w:before="0" w:after="40" w:line="252" w:lineRule="auto"/>
      </w:pPr>
      <w:r>
        <w:rPr>
          <w:rFonts w:ascii="Arial" w:hAnsi="Arial"/>
          <w:color w:val="111111"/>
        </w:rPr>
        <w:t>Appendix K: Misleading Graphs and Visual Ethics</w:t>
      </w:r>
    </w:p>
    <w:p>
      <w:pPr>
        <w:pStyle w:val="Heading2"/>
        <w:keepNext/>
        <w:widowControl/>
        <w:spacing w:before="220" w:after="80" w:line="240" w:lineRule="auto"/>
      </w:pPr>
      <w:r>
        <w:rPr>
          <w:rFonts w:ascii="Arial" w:hAnsi="Arial"/>
          <w:b/>
          <w:color w:val="E31B23"/>
        </w:rPr>
        <w:t>Suggested Weekly Flow</w:t>
      </w:r>
    </w:p>
    <w:p>
      <w:pPr>
        <w:pStyle w:val="Heading3"/>
        <w:keepNext/>
        <w:widowControl/>
        <w:spacing w:before="140" w:after="40" w:line="240" w:lineRule="auto"/>
      </w:pPr>
      <w:r>
        <w:rPr>
          <w:rFonts w:ascii="Arial" w:hAnsi="Arial"/>
          <w:b/>
          <w:color w:val="111111"/>
        </w:rPr>
        <w:t>Day 1: Choosing the Right Visual</w:t>
      </w:r>
    </w:p>
    <w:p>
      <w:pPr>
        <w:keepNext w:val="0"/>
        <w:widowControl/>
        <w:spacing w:before="0" w:after="80" w:line="252" w:lineRule="auto"/>
      </w:pPr>
      <w:r>
        <w:rPr>
          <w:rFonts w:ascii="Arial" w:hAnsi="Arial"/>
          <w:color w:val="111111"/>
        </w:rPr>
        <w:t>Students complete Student Handout 9.</w:t>
      </w:r>
    </w:p>
    <w:p>
      <w:pPr>
        <w:keepNext w:val="0"/>
        <w:widowControl/>
        <w:spacing w:before="0" w:after="80" w:line="252" w:lineRule="auto"/>
      </w:pPr>
      <w:r>
        <w:rPr>
          <w:rFonts w:ascii="Arial" w:hAnsi="Arial"/>
          <w:color w:val="111111"/>
        </w:rPr>
        <w:t>General guidance:</w:t>
      </w:r>
    </w:p>
    <w:p>
      <w:pPr>
        <w:keepNext w:val="0"/>
        <w:widowControl/>
        <w:spacing w:before="0" w:after="80" w:line="252" w:lineRule="auto"/>
      </w:pPr>
      <w:r>
        <w:rPr>
          <w:rFonts w:ascii="Arial" w:hAnsi="Arial"/>
          <w:color w:val="111111"/>
        </w:rPr>
        <w:t>Bar graph: comparing categories or groups</w:t>
      </w:r>
    </w:p>
    <w:p>
      <w:pPr>
        <w:keepNext w:val="0"/>
        <w:widowControl/>
        <w:spacing w:before="0" w:after="80" w:line="252" w:lineRule="auto"/>
      </w:pPr>
      <w:r>
        <w:rPr>
          <w:rFonts w:ascii="Arial" w:hAnsi="Arial"/>
          <w:color w:val="111111"/>
        </w:rPr>
        <w:t>Line graph: change over time or continuous trends</w:t>
      </w:r>
    </w:p>
    <w:p>
      <w:pPr>
        <w:keepNext w:val="0"/>
        <w:widowControl/>
        <w:spacing w:before="0" w:after="80" w:line="252" w:lineRule="auto"/>
      </w:pPr>
      <w:r>
        <w:rPr>
          <w:rFonts w:ascii="Arial" w:hAnsi="Arial"/>
          <w:color w:val="111111"/>
        </w:rPr>
        <w:t>Scatter plot: relationship between two numerical variables</w:t>
      </w:r>
    </w:p>
    <w:p>
      <w:pPr>
        <w:keepNext w:val="0"/>
        <w:widowControl/>
        <w:spacing w:before="0" w:after="80" w:line="252" w:lineRule="auto"/>
      </w:pPr>
      <w:r>
        <w:rPr>
          <w:rFonts w:ascii="Arial" w:hAnsi="Arial"/>
          <w:color w:val="111111"/>
        </w:rPr>
        <w:t>Histogram: distribution of values</w:t>
      </w:r>
    </w:p>
    <w:p>
      <w:pPr>
        <w:keepNext w:val="0"/>
        <w:widowControl/>
        <w:spacing w:before="0" w:after="80" w:line="252" w:lineRule="auto"/>
      </w:pPr>
      <w:r>
        <w:rPr>
          <w:rFonts w:ascii="Arial" w:hAnsi="Arial"/>
          <w:color w:val="111111"/>
        </w:rPr>
        <w:t>Table: exact values or multiple variables</w:t>
      </w:r>
    </w:p>
    <w:p>
      <w:pPr>
        <w:keepNext w:val="0"/>
        <w:widowControl/>
        <w:spacing w:before="0" w:after="80" w:line="252" w:lineRule="auto"/>
      </w:pPr>
      <w:r>
        <w:rPr>
          <w:rFonts w:ascii="Arial" w:hAnsi="Arial"/>
          <w:color w:val="111111"/>
        </w:rPr>
        <w:t>Photo series: prototype iterations or qualitative visual change</w:t>
      </w:r>
    </w:p>
    <w:p>
      <w:pPr>
        <w:keepNext w:val="0"/>
        <w:widowControl/>
        <w:spacing w:before="0" w:after="80" w:line="252" w:lineRule="auto"/>
      </w:pPr>
      <w:r>
        <w:rPr>
          <w:rFonts w:ascii="Arial" w:hAnsi="Arial"/>
          <w:color w:val="111111"/>
        </w:rPr>
        <w:t>Diagram: process, mechanism, design, or setup</w:t>
      </w:r>
    </w:p>
    <w:p>
      <w:pPr>
        <w:keepNext w:val="0"/>
        <w:widowControl/>
        <w:spacing w:before="0" w:after="80" w:line="252" w:lineRule="auto"/>
      </w:pPr>
      <w:r>
        <w:rPr>
          <w:rFonts w:ascii="Arial" w:hAnsi="Arial"/>
          <w:color w:val="111111"/>
        </w:rPr>
        <w:t>Heat map or coded chart: categorized qualitative patterns</w:t>
      </w:r>
    </w:p>
    <w:p>
      <w:pPr>
        <w:keepNext w:val="0"/>
        <w:widowControl/>
        <w:spacing w:before="0" w:after="80" w:line="252" w:lineRule="auto"/>
      </w:pPr>
      <w:r>
        <w:rPr>
          <w:rFonts w:ascii="Arial" w:hAnsi="Arial"/>
          <w:color w:val="111111"/>
        </w:rPr>
        <w:t>Students should identify what each visual is supposed to help the audience understand.</w:t>
      </w:r>
    </w:p>
    <w:p>
      <w:pPr>
        <w:pStyle w:val="Heading3"/>
        <w:keepNext/>
        <w:widowControl/>
        <w:spacing w:before="140" w:after="40" w:line="240" w:lineRule="auto"/>
      </w:pPr>
      <w:r>
        <w:rPr>
          <w:rFonts w:ascii="Arial" w:hAnsi="Arial"/>
          <w:b/>
          <w:color w:val="111111"/>
        </w:rPr>
        <w:t>Day 2: Graph Construction Workshop</w:t>
      </w:r>
    </w:p>
    <w:p>
      <w:pPr>
        <w:keepNext w:val="0"/>
        <w:widowControl/>
        <w:spacing w:before="0" w:after="80" w:line="252" w:lineRule="auto"/>
      </w:pPr>
      <w:r>
        <w:rPr>
          <w:rFonts w:ascii="Arial" w:hAnsi="Arial"/>
          <w:color w:val="111111"/>
        </w:rPr>
        <w:t>Students create graphs and complete Student Handout 10.</w:t>
      </w:r>
    </w:p>
    <w:p>
      <w:pPr>
        <w:keepNext w:val="0"/>
        <w:widowControl/>
        <w:spacing w:before="0" w:after="80" w:line="252" w:lineRule="auto"/>
      </w:pPr>
      <w:r>
        <w:rPr>
          <w:rFonts w:ascii="Arial" w:hAnsi="Arial"/>
          <w:color w:val="111111"/>
        </w:rPr>
        <w:t>Every graph should include:</w:t>
      </w:r>
    </w:p>
    <w:p>
      <w:pPr>
        <w:keepNext w:val="0"/>
        <w:widowControl/>
        <w:spacing w:before="0" w:after="80" w:line="252" w:lineRule="auto"/>
      </w:pPr>
      <w:r>
        <w:rPr>
          <w:rFonts w:ascii="Arial" w:hAnsi="Arial"/>
          <w:color w:val="111111"/>
        </w:rPr>
        <w:t>Descriptive title</w:t>
      </w:r>
    </w:p>
    <w:p>
      <w:pPr>
        <w:keepNext w:val="0"/>
        <w:widowControl/>
        <w:spacing w:before="0" w:after="80" w:line="252" w:lineRule="auto"/>
      </w:pPr>
      <w:r>
        <w:rPr>
          <w:rFonts w:ascii="Arial" w:hAnsi="Arial"/>
          <w:color w:val="111111"/>
        </w:rPr>
        <w:t>Labeled axes</w:t>
      </w:r>
    </w:p>
    <w:p>
      <w:pPr>
        <w:keepNext w:val="0"/>
        <w:widowControl/>
        <w:spacing w:before="0" w:after="80" w:line="252" w:lineRule="auto"/>
      </w:pPr>
      <w:r>
        <w:rPr>
          <w:rFonts w:ascii="Arial" w:hAnsi="Arial"/>
          <w:color w:val="111111"/>
        </w:rPr>
        <w:t>Units</w:t>
      </w:r>
    </w:p>
    <w:p>
      <w:pPr>
        <w:keepNext w:val="0"/>
        <w:widowControl/>
        <w:spacing w:before="0" w:after="80" w:line="252" w:lineRule="auto"/>
      </w:pPr>
      <w:r>
        <w:rPr>
          <w:rFonts w:ascii="Arial" w:hAnsi="Arial"/>
          <w:color w:val="111111"/>
        </w:rPr>
        <w:t>Appropriate scale</w:t>
      </w:r>
    </w:p>
    <w:p>
      <w:pPr>
        <w:keepNext w:val="0"/>
        <w:widowControl/>
        <w:spacing w:before="0" w:after="80" w:line="252" w:lineRule="auto"/>
      </w:pPr>
      <w:r>
        <w:rPr>
          <w:rFonts w:ascii="Arial" w:hAnsi="Arial"/>
          <w:color w:val="111111"/>
        </w:rPr>
        <w:t>Legend, if needed</w:t>
      </w:r>
    </w:p>
    <w:p>
      <w:pPr>
        <w:keepNext w:val="0"/>
        <w:widowControl/>
        <w:spacing w:before="0" w:after="80" w:line="252" w:lineRule="auto"/>
      </w:pPr>
      <w:r>
        <w:rPr>
          <w:rFonts w:ascii="Arial" w:hAnsi="Arial"/>
          <w:color w:val="111111"/>
        </w:rPr>
        <w:t>Clear data points or bars</w:t>
      </w:r>
    </w:p>
    <w:p>
      <w:pPr>
        <w:keepNext w:val="0"/>
        <w:widowControl/>
        <w:spacing w:before="0" w:after="80" w:line="252" w:lineRule="auto"/>
      </w:pPr>
      <w:r>
        <w:rPr>
          <w:rFonts w:ascii="Arial" w:hAnsi="Arial"/>
          <w:color w:val="111111"/>
        </w:rPr>
        <w:t>Error bars, if appropriate</w:t>
      </w:r>
    </w:p>
    <w:p>
      <w:pPr>
        <w:keepNext w:val="0"/>
        <w:widowControl/>
        <w:spacing w:before="0" w:after="80" w:line="252" w:lineRule="auto"/>
      </w:pPr>
      <w:r>
        <w:rPr>
          <w:rFonts w:ascii="Arial" w:hAnsi="Arial"/>
          <w:color w:val="111111"/>
        </w:rPr>
        <w:t>No unnecessary decoration</w:t>
      </w:r>
    </w:p>
    <w:p>
      <w:pPr>
        <w:keepNext w:val="0"/>
        <w:widowControl/>
        <w:spacing w:before="0" w:after="80" w:line="252" w:lineRule="auto"/>
      </w:pPr>
      <w:r>
        <w:rPr>
          <w:rFonts w:ascii="Arial" w:hAnsi="Arial"/>
          <w:color w:val="111111"/>
        </w:rPr>
        <w:t>Teacher should check that graphs are accurate and not misleading.</w:t>
      </w:r>
    </w:p>
    <w:p>
      <w:pPr>
        <w:pStyle w:val="Heading3"/>
        <w:keepNext/>
        <w:widowControl/>
        <w:spacing w:before="140" w:after="40" w:line="240" w:lineRule="auto"/>
      </w:pPr>
      <w:r>
        <w:rPr>
          <w:rFonts w:ascii="Arial" w:hAnsi="Arial"/>
          <w:b/>
          <w:color w:val="111111"/>
        </w:rPr>
        <w:t>Day 3: Error, Uncertainty, and Limitations</w:t>
      </w:r>
    </w:p>
    <w:p>
      <w:pPr>
        <w:keepNext w:val="0"/>
        <w:widowControl/>
        <w:spacing w:before="0" w:after="80" w:line="252" w:lineRule="auto"/>
      </w:pPr>
      <w:r>
        <w:rPr>
          <w:rFonts w:ascii="Arial" w:hAnsi="Arial"/>
          <w:color w:val="111111"/>
        </w:rPr>
        <w:t>Students complete Student Handout 11.</w:t>
      </w:r>
    </w:p>
    <w:p>
      <w:pPr>
        <w:keepNext w:val="0"/>
        <w:widowControl/>
        <w:spacing w:before="0" w:after="80" w:line="252" w:lineRule="auto"/>
      </w:pPr>
      <w:r>
        <w:rPr>
          <w:rFonts w:ascii="Arial" w:hAnsi="Arial"/>
          <w:color w:val="111111"/>
        </w:rPr>
        <w:t>Discuss common sources of uncertainty:</w:t>
      </w:r>
    </w:p>
    <w:p>
      <w:pPr>
        <w:keepNext w:val="0"/>
        <w:widowControl/>
        <w:spacing w:before="0" w:after="80" w:line="252" w:lineRule="auto"/>
      </w:pPr>
      <w:r>
        <w:rPr>
          <w:rFonts w:ascii="Arial" w:hAnsi="Arial"/>
          <w:color w:val="111111"/>
        </w:rPr>
        <w:t>Measurement precision</w:t>
      </w:r>
    </w:p>
    <w:p>
      <w:pPr>
        <w:keepNext w:val="0"/>
        <w:widowControl/>
        <w:spacing w:before="0" w:after="80" w:line="252" w:lineRule="auto"/>
      </w:pPr>
      <w:r>
        <w:rPr>
          <w:rFonts w:ascii="Arial" w:hAnsi="Arial"/>
          <w:color w:val="111111"/>
        </w:rPr>
        <w:t>Human reaction time</w:t>
      </w:r>
    </w:p>
    <w:p>
      <w:pPr>
        <w:keepNext w:val="0"/>
        <w:widowControl/>
        <w:spacing w:before="0" w:after="80" w:line="252" w:lineRule="auto"/>
      </w:pPr>
      <w:r>
        <w:rPr>
          <w:rFonts w:ascii="Arial" w:hAnsi="Arial"/>
          <w:color w:val="111111"/>
        </w:rPr>
        <w:t>Calibration issues</w:t>
      </w:r>
    </w:p>
    <w:p>
      <w:pPr>
        <w:keepNext w:val="0"/>
        <w:widowControl/>
        <w:spacing w:before="0" w:after="80" w:line="252" w:lineRule="auto"/>
      </w:pPr>
      <w:r>
        <w:rPr>
          <w:rFonts w:ascii="Arial" w:hAnsi="Arial"/>
          <w:color w:val="111111"/>
        </w:rPr>
        <w:t>Small sample size</w:t>
      </w:r>
    </w:p>
    <w:p>
      <w:pPr>
        <w:keepNext w:val="0"/>
        <w:widowControl/>
        <w:spacing w:before="0" w:after="80" w:line="252" w:lineRule="auto"/>
      </w:pPr>
      <w:r>
        <w:rPr>
          <w:rFonts w:ascii="Arial" w:hAnsi="Arial"/>
          <w:color w:val="111111"/>
        </w:rPr>
        <w:t>Uncontrolled variables</w:t>
      </w:r>
    </w:p>
    <w:p>
      <w:pPr>
        <w:keepNext w:val="0"/>
        <w:widowControl/>
        <w:spacing w:before="0" w:after="80" w:line="252" w:lineRule="auto"/>
      </w:pPr>
      <w:r>
        <w:rPr>
          <w:rFonts w:ascii="Arial" w:hAnsi="Arial"/>
          <w:color w:val="111111"/>
        </w:rPr>
        <w:t>Environmental conditions</w:t>
      </w:r>
    </w:p>
    <w:p>
      <w:pPr>
        <w:keepNext w:val="0"/>
        <w:widowControl/>
        <w:spacing w:before="0" w:after="80" w:line="252" w:lineRule="auto"/>
      </w:pPr>
      <w:r>
        <w:rPr>
          <w:rFonts w:ascii="Arial" w:hAnsi="Arial"/>
          <w:color w:val="111111"/>
        </w:rPr>
        <w:t>Equipment limitations</w:t>
      </w:r>
    </w:p>
    <w:p>
      <w:pPr>
        <w:keepNext w:val="0"/>
        <w:widowControl/>
        <w:spacing w:before="0" w:after="80" w:line="252" w:lineRule="auto"/>
      </w:pPr>
      <w:r>
        <w:rPr>
          <w:rFonts w:ascii="Arial" w:hAnsi="Arial"/>
          <w:color w:val="111111"/>
        </w:rPr>
        <w:t>Prototype inconsistency</w:t>
      </w:r>
    </w:p>
    <w:p>
      <w:pPr>
        <w:keepNext w:val="0"/>
        <w:widowControl/>
        <w:spacing w:before="0" w:after="80" w:line="252" w:lineRule="auto"/>
      </w:pPr>
      <w:r>
        <w:rPr>
          <w:rFonts w:ascii="Arial" w:hAnsi="Arial"/>
          <w:color w:val="111111"/>
        </w:rPr>
        <w:t>Sampling bias</w:t>
      </w:r>
    </w:p>
    <w:p>
      <w:pPr>
        <w:keepNext w:val="0"/>
        <w:widowControl/>
        <w:spacing w:before="0" w:after="80" w:line="252" w:lineRule="auto"/>
      </w:pPr>
      <w:r>
        <w:rPr>
          <w:rFonts w:ascii="Arial" w:hAnsi="Arial"/>
          <w:color w:val="111111"/>
        </w:rPr>
        <w:t>Missing data</w:t>
      </w:r>
    </w:p>
    <w:p>
      <w:pPr>
        <w:keepNext w:val="0"/>
        <w:widowControl/>
        <w:spacing w:before="0" w:after="80" w:line="252" w:lineRule="auto"/>
      </w:pPr>
      <w:r>
        <w:rPr>
          <w:rFonts w:ascii="Arial" w:hAnsi="Arial"/>
          <w:color w:val="111111"/>
        </w:rPr>
        <w:t>Students should connect limitations to their specific project rather than writing vague statements like “human error.”</w:t>
      </w:r>
    </w:p>
    <w:p>
      <w:pPr>
        <w:pStyle w:val="Heading3"/>
        <w:keepNext/>
        <w:widowControl/>
        <w:spacing w:before="140" w:after="40" w:line="240" w:lineRule="auto"/>
      </w:pPr>
      <w:r>
        <w:rPr>
          <w:rFonts w:ascii="Arial" w:hAnsi="Arial"/>
          <w:b/>
          <w:color w:val="111111"/>
        </w:rPr>
        <w:t>Day 4: Figure Captions</w:t>
      </w:r>
    </w:p>
    <w:p>
      <w:pPr>
        <w:keepNext w:val="0"/>
        <w:widowControl/>
        <w:spacing w:before="0" w:after="80" w:line="252" w:lineRule="auto"/>
      </w:pPr>
      <w:r>
        <w:rPr>
          <w:rFonts w:ascii="Arial" w:hAnsi="Arial"/>
          <w:color w:val="111111"/>
        </w:rPr>
        <w:t>Students draft captions using Student Handout 12.</w:t>
      </w:r>
    </w:p>
    <w:p>
      <w:pPr>
        <w:keepNext w:val="0"/>
        <w:widowControl/>
        <w:spacing w:before="0" w:after="80" w:line="252" w:lineRule="auto"/>
      </w:pPr>
      <w:r>
        <w:rPr>
          <w:rFonts w:ascii="Arial" w:hAnsi="Arial"/>
          <w:color w:val="111111"/>
        </w:rPr>
        <w:t>A strong caption should explain:</w:t>
      </w:r>
    </w:p>
    <w:p>
      <w:pPr>
        <w:keepNext w:val="0"/>
        <w:widowControl/>
        <w:spacing w:before="0" w:after="80" w:line="252" w:lineRule="auto"/>
      </w:pPr>
      <w:r>
        <w:rPr>
          <w:rFonts w:ascii="Arial" w:hAnsi="Arial"/>
          <w:color w:val="111111"/>
        </w:rPr>
        <w:t>Figure number</w:t>
      </w:r>
    </w:p>
    <w:p>
      <w:pPr>
        <w:keepNext w:val="0"/>
        <w:widowControl/>
        <w:spacing w:before="0" w:after="80" w:line="252" w:lineRule="auto"/>
      </w:pPr>
      <w:r>
        <w:rPr>
          <w:rFonts w:ascii="Arial" w:hAnsi="Arial"/>
          <w:color w:val="111111"/>
        </w:rPr>
        <w:t>What is shown</w:t>
      </w:r>
    </w:p>
    <w:p>
      <w:pPr>
        <w:keepNext w:val="0"/>
        <w:widowControl/>
        <w:spacing w:before="0" w:after="80" w:line="252" w:lineRule="auto"/>
      </w:pPr>
      <w:r>
        <w:rPr>
          <w:rFonts w:ascii="Arial" w:hAnsi="Arial"/>
          <w:color w:val="111111"/>
        </w:rPr>
        <w:t>Conditions or groups</w:t>
      </w:r>
    </w:p>
    <w:p>
      <w:pPr>
        <w:keepNext w:val="0"/>
        <w:widowControl/>
        <w:spacing w:before="0" w:after="80" w:line="252" w:lineRule="auto"/>
      </w:pPr>
      <w:r>
        <w:rPr>
          <w:rFonts w:ascii="Arial" w:hAnsi="Arial"/>
          <w:color w:val="111111"/>
        </w:rPr>
        <w:t>Important units or sample size</w:t>
      </w:r>
    </w:p>
    <w:p>
      <w:pPr>
        <w:keepNext w:val="0"/>
        <w:widowControl/>
        <w:spacing w:before="0" w:after="80" w:line="252" w:lineRule="auto"/>
      </w:pPr>
      <w:r>
        <w:rPr>
          <w:rFonts w:ascii="Arial" w:hAnsi="Arial"/>
          <w:color w:val="111111"/>
        </w:rPr>
        <w:t>Major pattern or purpose, without overclaiming</w:t>
      </w:r>
    </w:p>
    <w:p>
      <w:pPr>
        <w:pStyle w:val="Heading3"/>
        <w:keepNext/>
        <w:widowControl/>
        <w:spacing w:before="140" w:after="40" w:line="240" w:lineRule="auto"/>
      </w:pPr>
      <w:r>
        <w:rPr>
          <w:rFonts w:ascii="Arial" w:hAnsi="Arial"/>
          <w:b/>
          <w:color w:val="111111"/>
        </w:rPr>
        <w:t>Day 5: Visual Review Gallery Walk</w:t>
      </w:r>
    </w:p>
    <w:p>
      <w:pPr>
        <w:keepNext w:val="0"/>
        <w:widowControl/>
        <w:spacing w:before="0" w:after="80" w:line="252" w:lineRule="auto"/>
      </w:pPr>
      <w:r>
        <w:rPr>
          <w:rFonts w:ascii="Arial" w:hAnsi="Arial"/>
          <w:color w:val="111111"/>
        </w:rPr>
        <w:t>Students share one or two major visuals. Peers review for clarity, accuracy, readability, and interpretation.</w:t>
      </w:r>
    </w:p>
    <w:p>
      <w:pPr>
        <w:keepNext w:val="0"/>
        <w:widowControl/>
        <w:spacing w:before="0" w:after="80" w:line="252" w:lineRule="auto"/>
      </w:pPr>
      <w:r>
        <w:rPr>
          <w:rFonts w:ascii="Arial" w:hAnsi="Arial"/>
          <w:color w:val="111111"/>
        </w:rPr>
        <w:t>Feedback questions:</w:t>
      </w:r>
    </w:p>
    <w:p>
      <w:pPr>
        <w:keepNext w:val="0"/>
        <w:widowControl/>
        <w:spacing w:before="0" w:after="80" w:line="252" w:lineRule="auto"/>
      </w:pPr>
      <w:r>
        <w:rPr>
          <w:rFonts w:ascii="Arial" w:hAnsi="Arial"/>
          <w:color w:val="111111"/>
        </w:rPr>
        <w:t>What does this visual show?</w:t>
      </w:r>
    </w:p>
    <w:p>
      <w:pPr>
        <w:keepNext w:val="0"/>
        <w:widowControl/>
        <w:spacing w:before="0" w:after="80" w:line="252" w:lineRule="auto"/>
      </w:pPr>
      <w:r>
        <w:rPr>
          <w:rFonts w:ascii="Arial" w:hAnsi="Arial"/>
          <w:color w:val="111111"/>
        </w:rPr>
        <w:t>What pattern or comparison is visible?</w:t>
      </w:r>
    </w:p>
    <w:p>
      <w:pPr>
        <w:keepNext w:val="0"/>
        <w:widowControl/>
        <w:spacing w:before="0" w:after="80" w:line="252" w:lineRule="auto"/>
      </w:pPr>
      <w:r>
        <w:rPr>
          <w:rFonts w:ascii="Arial" w:hAnsi="Arial"/>
          <w:color w:val="111111"/>
        </w:rPr>
        <w:t>Are labels and units clear?</w:t>
      </w:r>
    </w:p>
    <w:p>
      <w:pPr>
        <w:keepNext w:val="0"/>
        <w:widowControl/>
        <w:spacing w:before="0" w:after="80" w:line="252" w:lineRule="auto"/>
      </w:pPr>
      <w:r>
        <w:rPr>
          <w:rFonts w:ascii="Arial" w:hAnsi="Arial"/>
          <w:color w:val="111111"/>
        </w:rPr>
        <w:t>Is anything misleading or confusing?</w:t>
      </w:r>
    </w:p>
    <w:p>
      <w:pPr>
        <w:keepNext w:val="0"/>
        <w:widowControl/>
        <w:spacing w:before="0" w:after="80" w:line="252" w:lineRule="auto"/>
      </w:pPr>
      <w:r>
        <w:rPr>
          <w:rFonts w:ascii="Arial" w:hAnsi="Arial"/>
          <w:color w:val="111111"/>
        </w:rPr>
        <w:t>What question does the visual raise?</w:t>
      </w:r>
    </w:p>
    <w:p>
      <w:pPr>
        <w:pStyle w:val="Heading2"/>
        <w:keepNext/>
        <w:widowControl/>
        <w:spacing w:before="220" w:after="80" w:line="240" w:lineRule="auto"/>
      </w:pPr>
      <w:r>
        <w:rPr>
          <w:rFonts w:ascii="Arial" w:hAnsi="Arial"/>
          <w:b/>
          <w:color w:val="E31B23"/>
        </w:rPr>
        <w:t>Week 19 Deliverables</w:t>
      </w:r>
    </w:p>
    <w:p>
      <w:pPr>
        <w:keepNext w:val="0"/>
        <w:widowControl/>
        <w:numPr>
          <w:ilvl w:val="0"/>
          <w:numId w:val="10"/>
        </w:numPr>
        <w:pStyle w:val="ListBullet"/>
        <w:spacing w:before="0" w:after="40" w:line="252" w:lineRule="auto"/>
      </w:pPr>
      <w:r>
        <w:rPr>
          <w:rFonts w:ascii="Arial" w:hAnsi="Arial"/>
          <w:color w:val="111111"/>
        </w:rPr>
        <w:t>Graph and visual selection tool</w:t>
      </w:r>
    </w:p>
    <w:p>
      <w:pPr>
        <w:keepNext w:val="0"/>
        <w:widowControl/>
        <w:numPr>
          <w:ilvl w:val="0"/>
          <w:numId w:val="10"/>
        </w:numPr>
        <w:pStyle w:val="ListBullet"/>
        <w:spacing w:before="0" w:after="40" w:line="252" w:lineRule="auto"/>
      </w:pPr>
      <w:r>
        <w:rPr>
          <w:rFonts w:ascii="Arial" w:hAnsi="Arial"/>
          <w:color w:val="111111"/>
        </w:rPr>
        <w:t>Draft graphs, tables, or visuals</w:t>
      </w:r>
    </w:p>
    <w:p>
      <w:pPr>
        <w:keepNext w:val="0"/>
        <w:widowControl/>
        <w:numPr>
          <w:ilvl w:val="0"/>
          <w:numId w:val="10"/>
        </w:numPr>
        <w:pStyle w:val="ListBullet"/>
        <w:spacing w:before="0" w:after="40" w:line="252" w:lineRule="auto"/>
      </w:pPr>
      <w:r>
        <w:rPr>
          <w:rFonts w:ascii="Arial" w:hAnsi="Arial"/>
          <w:color w:val="111111"/>
        </w:rPr>
        <w:t>Graph construction checklist</w:t>
      </w:r>
    </w:p>
    <w:p>
      <w:pPr>
        <w:keepNext w:val="0"/>
        <w:widowControl/>
        <w:numPr>
          <w:ilvl w:val="0"/>
          <w:numId w:val="10"/>
        </w:numPr>
        <w:pStyle w:val="ListBullet"/>
        <w:spacing w:before="0" w:after="40" w:line="252" w:lineRule="auto"/>
      </w:pPr>
      <w:r>
        <w:rPr>
          <w:rFonts w:ascii="Arial" w:hAnsi="Arial"/>
          <w:color w:val="111111"/>
        </w:rPr>
        <w:t>Error, uncertainty, and limitations review</w:t>
      </w:r>
    </w:p>
    <w:p>
      <w:pPr>
        <w:keepNext w:val="0"/>
        <w:widowControl/>
        <w:numPr>
          <w:ilvl w:val="0"/>
          <w:numId w:val="10"/>
        </w:numPr>
        <w:pStyle w:val="ListBullet"/>
        <w:spacing w:before="0" w:after="40" w:line="252" w:lineRule="auto"/>
      </w:pPr>
      <w:r>
        <w:rPr>
          <w:rFonts w:ascii="Arial" w:hAnsi="Arial"/>
          <w:color w:val="111111"/>
        </w:rPr>
        <w:t>Figure captions</w:t>
      </w:r>
    </w:p>
    <w:p>
      <w:pPr>
        <w:keepNext w:val="0"/>
        <w:widowControl/>
        <w:numPr>
          <w:ilvl w:val="0"/>
          <w:numId w:val="10"/>
        </w:numPr>
        <w:pStyle w:val="ListBullet"/>
        <w:spacing w:before="0" w:after="40" w:line="252" w:lineRule="auto"/>
      </w:pPr>
      <w:r>
        <w:rPr>
          <w:rFonts w:ascii="Arial" w:hAnsi="Arial"/>
          <w:color w:val="111111"/>
        </w:rPr>
        <w:t>Visual review feedback</w:t>
      </w:r>
    </w:p>
    <w:p>
      <w:pPr>
        <w:pStyle w:val="Heading2"/>
        <w:keepNext/>
        <w:widowControl/>
        <w:spacing w:before="220" w:after="80" w:line="240" w:lineRule="auto"/>
      </w:pPr>
      <w:r>
        <w:rPr>
          <w:rFonts w:ascii="Arial" w:hAnsi="Arial"/>
          <w:b/>
          <w:color w:val="E31B23"/>
        </w:rPr>
        <w:t>Teacher Notes</w:t>
      </w:r>
    </w:p>
    <w:p>
      <w:pPr>
        <w:keepNext w:val="0"/>
        <w:widowControl/>
        <w:spacing w:before="0" w:after="80" w:line="252" w:lineRule="auto"/>
      </w:pPr>
      <w:r>
        <w:rPr>
          <w:rFonts w:ascii="Arial" w:hAnsi="Arial"/>
          <w:color w:val="111111"/>
        </w:rPr>
        <w:t>Students may try to make visuals look impressive rather than accurate. Reinforce that ethical visualization matters. A simple, honest graph is stronger than a flashy misleading one.</w:t>
      </w:r>
    </w:p>
    <w:sectPr w:rsidR="00FC693F" w:rsidRPr="0006063C" w:rsidSect="00034616">
      <w:footerReference w:type="default" r:id="rId9"/>
      <w:headerReference w:type="default" r:id="rId10"/>
      <w:pgSz w:w="12240" w:h="15840"/>
      <w:pgMar w:top="936" w:right="1080" w:bottom="864"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7"/>
      </w:rPr>
      <w:t xml:space="preserve">STARLAB | UNIT 4 | WEEK 19 | PAGE </w:t>
    </w:r>
    <w:r>
      <w:rPr>
        <w:rFonts w:ascii="Arial" w:hAnsi="Arial"/>
        <w:color w:val="55555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540" w:hanging="180"/>
      </w:pPr>
      <w:rPr>
        <w:rFonts w:ascii="Arial" w:hAnsi="Arial" w:eastAsia="Arial" w:cs="Arial"/>
        <w:sz w:val="2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2" w:lineRule="auto"/>
    </w:pPr>
    <w:rPr>
      <w:rFonts w:ascii="Arial" w:hAnsi="Arial" w:eastAsia="Arial" w:cs="Arial"/>
      <w:b w:val="0"/>
      <w:i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Arial" w:hAnsi="Arial" w:eastAsia="Arial" w:cs="Arial"/>
      <w:b w:val="0"/>
      <w:i w:val="0"/>
      <w:color w:val="555555"/>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cs="Arial"/>
      <w:b/>
      <w:bCs/>
      <w:i w:val="0"/>
      <w:color w:val="E31B23"/>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eastAsia="Arial" w:cs="Arial"/>
      <w:b/>
      <w:bCs/>
      <w:i w:val="0"/>
      <w:color w:val="E31B23"/>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eastAsia="Arial" w:cs="Arial"/>
      <w:b/>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eastAsia="Arial" w:cs="Arial"/>
      <w:b/>
      <w:i w:val="0"/>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eastAsia="Arial" w:cs="Arial"/>
      <w:b/>
      <w:i w:val="0"/>
      <w:iCs/>
      <w:color w:val="55555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52" w:lineRule="auto"/>
      <w:contextualSpacing/>
    </w:pPr>
    <w:rPr>
      <w:rFonts w:ascii="Arial" w:hAnsi="Arial" w:eastAsia="Arial" w:cs="Arial"/>
      <w:b w:val="0"/>
      <w:i w:val="0"/>
      <w:color w:val="11111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52" w:lineRule="auto"/>
      <w:contextualSpacing/>
    </w:pPr>
    <w:rPr>
      <w:rFonts w:ascii="Arial" w:hAnsi="Arial" w:eastAsia="Arial" w:cs="Arial"/>
      <w:b w:val="0"/>
      <w:i w:val="0"/>
      <w:color w:val="11111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 w:type="paragraph" w:customStyle="1" w:styleId="STARLABBrand">
    <w:name w:val="STARLAB Brand"/>
    <w:basedOn w:val="Normal"/>
    <w:pPr>
      <w:keepNext/>
      <w:spacing w:before="0" w:after="40"/>
    </w:pPr>
    <w:rPr>
      <w:rFonts w:ascii="Arial" w:hAnsi="Arial" w:eastAsia="Arial" w:cs="Arial"/>
      <w:b/>
      <w:i w:val="0"/>
      <w:color w:val="E31B23"/>
      <w:sz w:val="21"/>
    </w:rPr>
  </w:style>
  <w:style w:type="paragraph" w:customStyle="1" w:styleId="STARLABWeekTitle">
    <w:name w:val="STARLAB Week Title"/>
    <w:basedOn w:val="Normal"/>
    <w:pPr>
      <w:keepNext/>
      <w:spacing w:before="0" w:after="80" w:line="240" w:lineRule="auto"/>
    </w:pPr>
    <w:rPr>
      <w:rFonts w:ascii="Arial" w:hAnsi="Arial" w:eastAsia="Arial" w:cs="Arial"/>
      <w:b/>
      <w:i w:val="0"/>
      <w:color w:val="111111"/>
      <w:sz w:val="48"/>
    </w:rPr>
  </w:style>
  <w:style w:type="paragraph" w:customStyle="1" w:styleId="STARLABGuideSubtitle">
    <w:name w:val="STARLAB Guide Subtitle"/>
    <w:basedOn w:val="Normal"/>
    <w:pPr>
      <w:keepNext/>
      <w:spacing w:before="0" w:after="260"/>
    </w:pPr>
    <w:rPr>
      <w:rFonts w:ascii="Arial" w:hAnsi="Arial" w:eastAsia="Arial" w:cs="Arial"/>
      <w:b/>
      <w:i w:val="0"/>
      <w:color w:val="555555"/>
      <w:sz w:val="21"/>
    </w:rPr>
  </w:style>
  <w:style w:type="paragraph" w:customStyle="1" w:styleId="STARLABLabel">
    <w:name w:val="STARLAB Label"/>
    <w:basedOn w:val="Normal"/>
    <w:pPr>
      <w:keepNext/>
      <w:spacing w:before="80" w:after="20"/>
    </w:pPr>
    <w:rPr>
      <w:rFonts w:ascii="Arial" w:hAnsi="Arial" w:eastAsia="Arial" w:cs="Arial"/>
      <w:b/>
      <w:i w:val="0"/>
      <w:color w:val="111111"/>
      <w:sz w:val="20"/>
    </w:rPr>
  </w:style>
  <w:style w:type="paragraph" w:customStyle="1" w:styleId="STARLABDeckUse">
    <w:name w:val="STARLAB Deck Use"/>
    <w:basedOn w:val="Normal"/>
    <w:pPr>
      <w:keepLines/>
      <w:spacing w:before="40" w:after="140"/>
      <w:ind w:left="187" w:right="115"/>
    </w:pPr>
    <w:rPr>
      <w:rFonts w:ascii="Arial" w:hAnsi="Arial" w:eastAsia="Arial" w:cs="Arial"/>
      <w:b w:val="0"/>
      <w:i w:val="0"/>
      <w:color w:val="111111"/>
      <w:sz w:val="20"/>
    </w:rPr>
  </w:style>
  <w:style w:type="character" w:customStyle="1" w:styleId="Hyperlink">
    <w:name w:val="Hyperlink"/>
    <w:rPr>
      <w:rFonts w:ascii="Arial" w:hAnsi="Arial" w:eastAsia="Arial" w:cs="Arial"/>
      <w:b w:val="0"/>
      <w:i w:val="0"/>
      <w:color w:val="E31B23"/>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555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999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9999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99999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55555"/>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5555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55555"/>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999999"/>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5555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55555"/>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999999"/>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999999"/>
    </w:rPr>
  </w:style>
  <w:style w:type="paragraph" w:styleId="Title">
    <w:name w:val="Title"/>
    <w:basedOn w:val="Normal"/>
    <w:next w:val="Normal"/>
    <w:link w:val="TitleChar"/>
    <w:uiPriority w:val="10"/>
    <w:qFormat/>
    <w:rsid w:val="00FC693F"/>
    <w:pPr>
      <w:pBdr>
        <w:bottom w:val="single" w:sz="8" w:space="4" w:color="999999"/>
      </w:pBdr>
      <w:spacing w:after="300" w:line="240" w:lineRule="auto"/>
      <w:contextualSpacing/>
    </w:pPr>
    <w:rPr>
      <w:rFonts w:asciiTheme="majorHAnsi" w:eastAsiaTheme="majorEastAsia" w:hAnsiTheme="majorHAnsi" w:cstheme="majorBidi"/>
      <w:color w:val="5555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55555"/>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99999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99999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99999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55555"/>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55555"/>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55555"/>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999999"/>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55555"/>
      <w:sz w:val="20"/>
      <w:szCs w:val="20"/>
    </w:rPr>
  </w:style>
  <w:style w:type="paragraph" w:styleId="Caption">
    <w:name w:val="caption"/>
    <w:basedOn w:val="Normal"/>
    <w:next w:val="Normal"/>
    <w:uiPriority w:val="35"/>
    <w:semiHidden/>
    <w:unhideWhenUsed/>
    <w:qFormat/>
    <w:rsid w:val="00FC693F"/>
    <w:pPr>
      <w:spacing w:line="240" w:lineRule="auto"/>
    </w:pPr>
    <w:rPr>
      <w:b/>
      <w:bCs/>
      <w:color w:val="99999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999999"/>
      </w:pBdr>
      <w:spacing w:before="200" w:after="280"/>
      <w:ind w:left="936" w:right="936"/>
    </w:pPr>
    <w:rPr>
      <w:b/>
      <w:bCs/>
      <w:i/>
      <w:iCs/>
      <w:color w:val="999999"/>
    </w:rPr>
  </w:style>
  <w:style w:type="character" w:customStyle="1" w:styleId="IntenseQuoteChar">
    <w:name w:val="Intense Quote Char"/>
    <w:basedOn w:val="DefaultParagraphFont"/>
    <w:link w:val="IntenseQuote"/>
    <w:uiPriority w:val="30"/>
    <w:rsid w:val="00FC693F"/>
    <w:rPr>
      <w:b/>
      <w:bCs/>
      <w:i/>
      <w:iCs/>
      <w:color w:val="999999"/>
    </w:rPr>
  </w:style>
  <w:style w:type="character" w:styleId="SubtleEmphasis">
    <w:name w:val="Subtle Emphasis"/>
    <w:basedOn w:val="DefaultParagraphFont"/>
    <w:uiPriority w:val="19"/>
    <w:qFormat/>
    <w:rsid w:val="00FC693F"/>
    <w:rPr>
      <w:i/>
      <w:iCs/>
      <w:color w:val="999999"/>
    </w:rPr>
  </w:style>
  <w:style w:type="character" w:styleId="IntenseEmphasis">
    <w:name w:val="Intense Emphasis"/>
    <w:basedOn w:val="DefaultParagraphFont"/>
    <w:uiPriority w:val="21"/>
    <w:qFormat/>
    <w:rsid w:val="00FC693F"/>
    <w:rPr>
      <w:b/>
      <w:bCs/>
      <w:i/>
      <w:iCs/>
      <w:color w:val="999999"/>
    </w:rPr>
  </w:style>
  <w:style w:type="character" w:styleId="SubtleReference">
    <w:name w:val="Subtle Reference"/>
    <w:basedOn w:val="DefaultParagraphFont"/>
    <w:uiPriority w:val="31"/>
    <w:qFormat/>
    <w:rsid w:val="00FC693F"/>
    <w:rPr>
      <w:smallCaps/>
      <w:color w:val="E31B23"/>
      <w:u w:val="single"/>
    </w:rPr>
  </w:style>
  <w:style w:type="character" w:styleId="IntenseReference">
    <w:name w:val="Intense Reference"/>
    <w:basedOn w:val="DefaultParagraphFont"/>
    <w:uiPriority w:val="32"/>
    <w:qFormat/>
    <w:rsid w:val="00FC693F"/>
    <w:rPr>
      <w:b/>
      <w:bCs/>
      <w:smallCaps/>
      <w:color w:val="E31B23"/>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1">
    <w:name w:val="Light Shading Accent 1"/>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2">
    <w:name w:val="Light Shading Accent 2"/>
    <w:basedOn w:val="TableNormal"/>
    <w:uiPriority w:val="60"/>
    <w:rsid w:val="00FC693F"/>
    <w:pPr>
      <w:spacing w:after="0" w:line="240" w:lineRule="auto"/>
    </w:pPr>
    <w:rPr>
      <w:color w:val="9F1118"/>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lastRow">
      <w:pPr>
        <w:spacing w:before="0" w:after="0" w:line="240" w:lineRule="auto"/>
      </w:pPr>
      <w:rPr>
        <w:b/>
        <w:bCs/>
      </w:rPr>
      <w:tblPr/>
      <w:tcPr>
        <w:tcBorders>
          <w:top w:val="single" w:sz="8" w:space="0" w:color="E31B23"/>
          <w:left w:val="nil"/>
          <w:bottom w:val="single" w:sz="8" w:space="0" w:color="E31B2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3">
    <w:name w:val="Light Shading Accent 3"/>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4">
    <w:name w:val="Light Shading Accent 4"/>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5">
    <w:name w:val="Light Shading Accent 5"/>
    <w:basedOn w:val="TableNormal"/>
    <w:uiPriority w:val="60"/>
    <w:rsid w:val="00FC693F"/>
    <w:pPr>
      <w:spacing w:after="0" w:line="240" w:lineRule="auto"/>
    </w:pPr>
    <w:rPr>
      <w:color w:val="555555"/>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Shading-Accent6">
    <w:name w:val="Light Shading Accent 6"/>
    <w:basedOn w:val="TableNormal"/>
    <w:uiPriority w:val="60"/>
    <w:rsid w:val="00FC693F"/>
    <w:pPr>
      <w:spacing w:after="0" w:line="240" w:lineRule="auto"/>
    </w:pPr>
    <w:rPr>
      <w:color w:val="E31B23"/>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lastRow">
      <w:pPr>
        <w:spacing w:before="0" w:after="0" w:line="240" w:lineRule="auto"/>
      </w:pPr>
      <w:rPr>
        <w:b/>
        <w:bCs/>
      </w:rPr>
      <w:tblPr/>
      <w:tcPr>
        <w:tcBorders>
          <w:top w:val="single" w:sz="8" w:space="0" w:color="999999"/>
          <w:left w:val="nil"/>
          <w:bottom w:val="single" w:sz="8" w:space="0" w:color="99999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6E6"/>
      </w:tcPr>
    </w:tblStylePr>
    <w:tblStylePr w:type="band1Horz">
      <w:tblPr/>
      <w:tcPr>
        <w:tcBorders>
          <w:left w:val="nil"/>
          <w:right w:val="nil"/>
          <w:insideH w:val="nil"/>
          <w:insideV w:val="nil"/>
        </w:tcBorders>
        <w:shd w:val="clear" w:color="auto" w:fill="E6E6E6"/>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E31B23"/>
      </w:tcPr>
    </w:tblStylePr>
    <w:tblStylePr w:type="lastRow">
      <w:pPr>
        <w:spacing w:before="0" w:after="0" w:line="240" w:lineRule="auto"/>
      </w:pPr>
      <w:rPr>
        <w:b/>
        <w:bCs/>
      </w:rPr>
      <w:tblPr/>
      <w:tcPr>
        <w:tcBorders>
          <w:top w:val="double" w:sz="6" w:space="0" w:color="E31B23"/>
          <w:left w:val="single" w:sz="8" w:space="0" w:color="E31B23"/>
          <w:bottom w:val="single" w:sz="8" w:space="0" w:color="E31B23"/>
          <w:right w:val="single" w:sz="8" w:space="0" w:color="E31B23"/>
        </w:tcBorders>
      </w:tcPr>
    </w:tblStylePr>
    <w:tblStylePr w:type="firstCol">
      <w:rPr>
        <w:b/>
        <w:bCs/>
      </w:rPr>
    </w:tblStylePr>
    <w:tblStylePr w:type="lastCol">
      <w:rPr>
        <w:b/>
        <w:bCs/>
      </w:rPr>
    </w:tblStylePr>
    <w:tblStylePr w:type="band1Vert">
      <w:tblPr/>
      <w:tcPr>
        <w:tcBorders>
          <w:top w:val="single" w:sz="8" w:space="0" w:color="E31B23"/>
          <w:left w:val="single" w:sz="8" w:space="0" w:color="E31B23"/>
          <w:bottom w:val="single" w:sz="8" w:space="0" w:color="E31B23"/>
          <w:right w:val="single" w:sz="8" w:space="0" w:color="E31B23"/>
        </w:tcBorders>
      </w:tcPr>
    </w:tblStylePr>
    <w:tblStylePr w:type="band1Horz">
      <w:tblPr/>
      <w:tcPr>
        <w:tcBorders>
          <w:top w:val="single" w:sz="8" w:space="0" w:color="E31B23"/>
          <w:left w:val="single" w:sz="8" w:space="0" w:color="E31B23"/>
          <w:bottom w:val="single" w:sz="8" w:space="0" w:color="E31B23"/>
          <w:right w:val="single" w:sz="8" w:space="0" w:color="E31B23"/>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tcBorders>
      </w:tcPr>
    </w:tblStylePr>
    <w:tblStylePr w:type="firstCol">
      <w:rPr>
        <w:b/>
        <w:bCs/>
      </w:rPr>
    </w:tblStylePr>
    <w:tblStylePr w:type="lastCol">
      <w:rPr>
        <w:b/>
        <w:bCs/>
      </w:rPr>
    </w:tblStylePr>
    <w:tblStylePr w:type="band1Vert">
      <w:tblPr/>
      <w:tcPr>
        <w:tcBorders>
          <w:top w:val="single" w:sz="8" w:space="0" w:color="999999"/>
          <w:left w:val="single" w:sz="8" w:space="0" w:color="999999"/>
          <w:bottom w:val="single" w:sz="8" w:space="0" w:color="999999"/>
          <w:right w:val="single" w:sz="8" w:space="0" w:color="999999"/>
        </w:tcBorders>
      </w:tcPr>
    </w:tblStylePr>
    <w:tblStylePr w:type="band1Horz">
      <w:tblPr/>
      <w:tcPr>
        <w:tcBorders>
          <w:top w:val="single" w:sz="8" w:space="0" w:color="999999"/>
          <w:left w:val="single" w:sz="8" w:space="0" w:color="999999"/>
          <w:bottom w:val="single" w:sz="8" w:space="0" w:color="999999"/>
          <w:right w:val="single" w:sz="8" w:space="0" w:color="999999"/>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6E6"/>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6E6"/>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31B23"/>
          <w:left w:val="single" w:sz="8" w:space="0" w:color="E31B23"/>
          <w:bottom w:val="single" w:sz="18" w:space="0" w:color="E31B23"/>
          <w:right w:val="single" w:sz="8" w:space="0" w:color="E31B23"/>
          <w:insideH w:val="nil"/>
          <w:insideV w:val="single" w:sz="8" w:space="0" w:color="E31B2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1B23"/>
          <w:left w:val="single" w:sz="8" w:space="0" w:color="E31B23"/>
          <w:bottom w:val="single" w:sz="8" w:space="0" w:color="E31B23"/>
          <w:right w:val="single" w:sz="8" w:space="0" w:color="E31B23"/>
          <w:insideH w:val="nil"/>
          <w:insideV w:val="single" w:sz="8" w:space="0" w:color="E31B2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1B23"/>
          <w:left w:val="single" w:sz="8" w:space="0" w:color="E31B23"/>
          <w:bottom w:val="single" w:sz="8" w:space="0" w:color="E31B23"/>
          <w:right w:val="single" w:sz="8" w:space="0" w:color="E31B23"/>
        </w:tcBorders>
      </w:tcPr>
    </w:tblStylePr>
    <w:tblStylePr w:type="band1Vert">
      <w:tblPr/>
      <w:tcPr>
        <w:tcBorders>
          <w:top w:val="single" w:sz="8" w:space="0" w:color="E31B23"/>
          <w:left w:val="single" w:sz="8" w:space="0" w:color="E31B23"/>
          <w:bottom w:val="single" w:sz="8" w:space="0" w:color="E31B23"/>
          <w:right w:val="single" w:sz="8" w:space="0" w:color="E31B23"/>
        </w:tcBorders>
        <w:shd w:val="clear" w:color="auto" w:fill="E6E6E6"/>
      </w:tcPr>
    </w:tblStylePr>
    <w:tblStylePr w:type="band1Horz">
      <w:tblPr/>
      <w:tcPr>
        <w:tcBorders>
          <w:top w:val="single" w:sz="8" w:space="0" w:color="E31B23"/>
          <w:left w:val="single" w:sz="8" w:space="0" w:color="E31B23"/>
          <w:bottom w:val="single" w:sz="8" w:space="0" w:color="E31B23"/>
          <w:right w:val="single" w:sz="8" w:space="0" w:color="E31B23"/>
          <w:insideV w:val="single" w:sz="8" w:space="0" w:color="E31B23"/>
        </w:tcBorders>
        <w:shd w:val="clear" w:color="auto" w:fill="E6E6E6"/>
      </w:tcPr>
    </w:tblStylePr>
    <w:tblStylePr w:type="band2Horz">
      <w:tblPr/>
      <w:tcPr>
        <w:tcBorders>
          <w:top w:val="single" w:sz="8" w:space="0" w:color="E31B23"/>
          <w:left w:val="single" w:sz="8" w:space="0" w:color="E31B23"/>
          <w:bottom w:val="single" w:sz="8" w:space="0" w:color="E31B23"/>
          <w:right w:val="single" w:sz="8" w:space="0" w:color="E31B23"/>
          <w:insideV w:val="single" w:sz="8" w:space="0" w:color="E31B23"/>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99999"/>
          <w:left w:val="single" w:sz="8" w:space="0" w:color="999999"/>
          <w:bottom w:val="single" w:sz="18" w:space="0" w:color="999999"/>
          <w:right w:val="single" w:sz="8" w:space="0" w:color="999999"/>
          <w:insideH w:val="nil"/>
          <w:insideV w:val="single" w:sz="8" w:space="0" w:color="99999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left w:val="single" w:sz="8" w:space="0" w:color="999999"/>
          <w:bottom w:val="single" w:sz="8" w:space="0" w:color="999999"/>
          <w:right w:val="single" w:sz="8" w:space="0" w:color="999999"/>
          <w:insideH w:val="nil"/>
          <w:insideV w:val="single" w:sz="8" w:space="0" w:color="99999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left w:val="single" w:sz="8" w:space="0" w:color="999999"/>
          <w:bottom w:val="single" w:sz="8" w:space="0" w:color="999999"/>
          <w:right w:val="single" w:sz="8" w:space="0" w:color="999999"/>
        </w:tcBorders>
      </w:tcPr>
    </w:tblStylePr>
    <w:tblStylePr w:type="band1Vert">
      <w:tblPr/>
      <w:tcPr>
        <w:tcBorders>
          <w:top w:val="single" w:sz="8" w:space="0" w:color="999999"/>
          <w:left w:val="single" w:sz="8" w:space="0" w:color="999999"/>
          <w:bottom w:val="single" w:sz="8" w:space="0" w:color="999999"/>
          <w:right w:val="single" w:sz="8" w:space="0" w:color="999999"/>
        </w:tcBorders>
        <w:shd w:val="clear" w:color="auto" w:fill="E6E6E6"/>
      </w:tcPr>
    </w:tblStylePr>
    <w:tblStylePr w:type="band1Horz">
      <w:tblPr/>
      <w:tcPr>
        <w:tcBorders>
          <w:top w:val="single" w:sz="8" w:space="0" w:color="999999"/>
          <w:left w:val="single" w:sz="8" w:space="0" w:color="999999"/>
          <w:bottom w:val="single" w:sz="8" w:space="0" w:color="999999"/>
          <w:right w:val="single" w:sz="8" w:space="0" w:color="999999"/>
          <w:insideV w:val="single" w:sz="8" w:space="0" w:color="999999"/>
        </w:tcBorders>
        <w:shd w:val="clear" w:color="auto" w:fill="E6E6E6"/>
      </w:tcPr>
    </w:tblStylePr>
    <w:tblStylePr w:type="band2Horz">
      <w:tblPr/>
      <w:tcPr>
        <w:tcBorders>
          <w:top w:val="single" w:sz="8" w:space="0" w:color="999999"/>
          <w:left w:val="single" w:sz="8" w:space="0" w:color="999999"/>
          <w:bottom w:val="single" w:sz="8" w:space="0" w:color="999999"/>
          <w:right w:val="single" w:sz="8" w:space="0" w:color="999999"/>
          <w:insideV w:val="single" w:sz="8" w:space="0" w:color="999999"/>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555555"/>
          <w:left w:val="single" w:sz="8" w:space="0" w:color="555555"/>
          <w:bottom w:val="single" w:sz="8" w:space="0" w:color="555555"/>
          <w:right w:val="single" w:sz="8" w:space="0" w:color="555555"/>
          <w:insideH w:val="nil"/>
          <w:insideV w:val="nil"/>
        </w:tcBorders>
        <w:shd w:val="clear" w:color="auto" w:fill="000000"/>
      </w:tcPr>
    </w:tblStylePr>
    <w:tblStylePr w:type="lastRow">
      <w:pPr>
        <w:spacing w:before="0" w:after="0" w:line="240" w:lineRule="auto"/>
      </w:pPr>
      <w:rPr>
        <w:b/>
        <w:bCs/>
      </w:rPr>
      <w:tblPr/>
      <w:tcPr>
        <w:tcBorders>
          <w:top w:val="double" w:sz="6" w:space="0" w:color="555555"/>
          <w:left w:val="single" w:sz="8" w:space="0" w:color="555555"/>
          <w:bottom w:val="single" w:sz="8" w:space="0" w:color="555555"/>
          <w:right w:val="single" w:sz="8" w:space="0" w:color="555555"/>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E31B23"/>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99999"/>
          <w:left w:val="single" w:sz="8" w:space="0" w:color="999999"/>
          <w:bottom w:val="single" w:sz="8" w:space="0" w:color="999999"/>
          <w:right w:val="single" w:sz="8" w:space="0" w:color="999999"/>
          <w:insideH w:val="nil"/>
          <w:insideV w:val="nil"/>
        </w:tcBorders>
        <w:shd w:val="clear" w:color="auto" w:fill="999999"/>
      </w:tcPr>
    </w:tblStylePr>
    <w:tblStylePr w:type="lastRow">
      <w:pPr>
        <w:spacing w:before="0" w:after="0" w:line="240" w:lineRule="auto"/>
      </w:pPr>
      <w:rPr>
        <w:b/>
        <w:bCs/>
      </w:rPr>
      <w:tblPr/>
      <w:tcPr>
        <w:tcBorders>
          <w:top w:val="double" w:sz="6" w:space="0" w:color="999999"/>
          <w:left w:val="single" w:sz="8" w:space="0" w:color="999999"/>
          <w:bottom w:val="single" w:sz="8" w:space="0" w:color="999999"/>
          <w:right w:val="single" w:sz="8" w:space="0" w:color="999999"/>
          <w:insideH w:val="nil"/>
          <w:insideV w:val="nil"/>
        </w:tcBorders>
      </w:tcPr>
    </w:tblStylePr>
    <w:tblStylePr w:type="firstCol">
      <w:rPr>
        <w:b/>
        <w:bCs/>
      </w:rPr>
    </w:tblStylePr>
    <w:tblStylePr w:type="lastCol">
      <w:rPr>
        <w:b/>
        <w:bCs/>
      </w:rPr>
    </w:tblStylePr>
    <w:tblStylePr w:type="band1Vert">
      <w:tblPr/>
      <w:tcPr>
        <w:shd w:val="clear" w:color="auto" w:fill="E6E6E6"/>
      </w:tcPr>
    </w:tblStylePr>
    <w:tblStylePr w:type="band1Horz">
      <w:tblPr/>
      <w:tcPr>
        <w:tcBorders>
          <w:insideH w:val="nil"/>
          <w:insideV w:val="nil"/>
        </w:tcBorders>
        <w:shd w:val="clear" w:color="auto" w:fill="E6E6E6"/>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31B2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31B23"/>
      </w:tcPr>
    </w:tblStylePr>
    <w:tblStylePr w:type="lastCol">
      <w:rPr>
        <w:b/>
        <w:bCs/>
        <w:color w:val="FFFFFF"/>
      </w:rPr>
      <w:tblPr/>
      <w:tcPr>
        <w:tcBorders>
          <w:left w:val="nil"/>
          <w:right w:val="nil"/>
          <w:insideH w:val="nil"/>
          <w:insideV w:val="nil"/>
        </w:tcBorders>
        <w:shd w:val="clear" w:color="auto" w:fill="E31B23"/>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9999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99999"/>
      </w:tcPr>
    </w:tblStylePr>
    <w:tblStylePr w:type="lastCol">
      <w:rPr>
        <w:b/>
        <w:bCs/>
        <w:color w:val="FFFFFF"/>
      </w:rPr>
      <w:tblPr/>
      <w:tcPr>
        <w:tcBorders>
          <w:left w:val="nil"/>
          <w:right w:val="nil"/>
          <w:insideH w:val="nil"/>
          <w:insideV w:val="nil"/>
        </w:tcBorders>
        <w:shd w:val="clear" w:color="auto" w:fill="999999"/>
      </w:tcPr>
    </w:tblStylePr>
    <w:tblStylePr w:type="band1Vert">
      <w:tblPr/>
      <w:tcPr>
        <w:tcBorders>
          <w:left w:val="nil"/>
          <w:right w:val="nil"/>
          <w:insideH w:val="nil"/>
          <w:insideV w:val="nil"/>
        </w:tcBorders>
        <w:shd w:val="clear" w:color="auto" w:fill="E6E6E6"/>
      </w:tcPr>
    </w:tblStylePr>
    <w:tblStylePr w:type="band1Horz">
      <w:tblPr/>
      <w:tcPr>
        <w:shd w:val="clear" w:color="auto" w:fill="E6E6E6"/>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55555"/>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6E6"/>
      </w:tcPr>
    </w:tblStylePr>
    <w:tblStylePr w:type="band1Horz">
      <w:tblPr/>
      <w:tcPr>
        <w:shd w:val="clear" w:color="auto" w:fill="E6E6E6"/>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E31B23"/>
        <w:bottom w:val="single" w:sz="8" w:space="0" w:color="E31B2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31B23"/>
        </w:tcBorders>
      </w:tcPr>
    </w:tblStylePr>
    <w:tblStylePr w:type="lastRow">
      <w:rPr>
        <w:b/>
        <w:bCs/>
        <w:color w:val="555555"/>
      </w:rPr>
      <w:tblPr/>
      <w:tcPr>
        <w:tcBorders>
          <w:top w:val="single" w:sz="8" w:space="0" w:color="E31B23"/>
          <w:bottom w:val="single" w:sz="8" w:space="0" w:color="E31B23"/>
        </w:tcBorders>
      </w:tcPr>
    </w:tblStylePr>
    <w:tblStylePr w:type="firstCol">
      <w:rPr>
        <w:b/>
        <w:bCs/>
      </w:rPr>
    </w:tblStylePr>
    <w:tblStylePr w:type="lastCol">
      <w:rPr>
        <w:b/>
        <w:bCs/>
      </w:rPr>
      <w:tblPr/>
      <w:tcPr>
        <w:tcBorders>
          <w:top w:val="single" w:sz="8" w:space="0" w:color="E31B23"/>
          <w:bottom w:val="single" w:sz="8" w:space="0" w:color="E31B23"/>
        </w:tcBorders>
      </w:tcPr>
    </w:tblStylePr>
    <w:tblStylePr w:type="band1Vert">
      <w:tblPr/>
      <w:tcPr>
        <w:shd w:val="clear" w:color="auto" w:fill="E6E6E6"/>
      </w:tcPr>
    </w:tblStylePr>
    <w:tblStylePr w:type="band1Horz">
      <w:tblPr/>
      <w:tcPr>
        <w:shd w:val="clear" w:color="auto" w:fill="E6E6E6"/>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999999"/>
        <w:bottom w:val="single" w:sz="8" w:space="0" w:color="99999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99999"/>
        </w:tcBorders>
      </w:tcPr>
    </w:tblStylePr>
    <w:tblStylePr w:type="lastRow">
      <w:rPr>
        <w:b/>
        <w:bCs/>
        <w:color w:val="555555"/>
      </w:rPr>
      <w:tblPr/>
      <w:tcPr>
        <w:tcBorders>
          <w:top w:val="single" w:sz="8" w:space="0" w:color="999999"/>
          <w:bottom w:val="single" w:sz="8" w:space="0" w:color="999999"/>
        </w:tcBorders>
      </w:tcPr>
    </w:tblStylePr>
    <w:tblStylePr w:type="firstCol">
      <w:rPr>
        <w:b/>
        <w:bCs/>
      </w:rPr>
    </w:tblStylePr>
    <w:tblStylePr w:type="lastCol">
      <w:rPr>
        <w:b/>
        <w:bCs/>
      </w:rPr>
      <w:tblPr/>
      <w:tcPr>
        <w:tcBorders>
          <w:top w:val="single" w:sz="8" w:space="0" w:color="999999"/>
          <w:bottom w:val="single" w:sz="8" w:space="0" w:color="999999"/>
        </w:tcBorders>
      </w:tcPr>
    </w:tblStylePr>
    <w:tblStylePr w:type="band1Vert">
      <w:tblPr/>
      <w:tcPr>
        <w:shd w:val="clear" w:color="auto" w:fill="E6E6E6"/>
      </w:tcPr>
    </w:tblStylePr>
    <w:tblStylePr w:type="band1Horz">
      <w:tblPr/>
      <w:tcPr>
        <w:shd w:val="clear" w:color="auto" w:fill="E6E6E6"/>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tblBorders>
      <w:tblCellMar>
        <w:top w:w="0" w:type="dxa"/>
        <w:left w:w="108" w:type="dxa"/>
        <w:bottom w:w="0" w:type="dxa"/>
        <w:right w:w="108" w:type="dxa"/>
      </w:tblCellMar>
    </w:tblPr>
    <w:tblStylePr w:type="firstRow">
      <w:rPr>
        <w:sz w:val="24"/>
        <w:szCs w:val="24"/>
      </w:rPr>
      <w:tblPr/>
      <w:tcPr>
        <w:tcBorders>
          <w:top w:val="nil"/>
          <w:left w:val="nil"/>
          <w:bottom w:val="single" w:sz="24" w:space="0" w:color="E31B23"/>
          <w:right w:val="nil"/>
          <w:insideH w:val="nil"/>
          <w:insideV w:val="nil"/>
        </w:tcBorders>
        <w:shd w:val="clear" w:color="auto" w:fill="FFFFFF"/>
      </w:tcPr>
    </w:tblStylePr>
    <w:tblStylePr w:type="lastRow">
      <w:tblPr/>
      <w:tcPr>
        <w:tcBorders>
          <w:top w:val="single" w:sz="8" w:space="0" w:color="E31B23"/>
          <w:left w:val="nil"/>
          <w:bottom w:val="nil"/>
          <w:right w:val="nil"/>
          <w:insideH w:val="nil"/>
          <w:insideV w:val="nil"/>
        </w:tcBorders>
        <w:shd w:val="clear" w:color="auto" w:fill="FFFFFF"/>
      </w:tcPr>
    </w:tblStylePr>
    <w:tblStylePr w:type="firstCol">
      <w:tblPr/>
      <w:tcPr>
        <w:tcBorders>
          <w:top w:val="nil"/>
          <w:left w:val="nil"/>
          <w:bottom w:val="nil"/>
          <w:right w:val="single" w:sz="8" w:space="0" w:color="E31B23"/>
          <w:insideH w:val="nil"/>
          <w:insideV w:val="nil"/>
        </w:tcBorders>
        <w:shd w:val="clear" w:color="auto" w:fill="FFFFFF"/>
      </w:tcPr>
    </w:tblStylePr>
    <w:tblStylePr w:type="lastCol">
      <w:tblPr/>
      <w:tcPr>
        <w:tcBorders>
          <w:top w:val="nil"/>
          <w:left w:val="single" w:sz="8" w:space="0" w:color="E31B2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tblBorders>
      <w:tblCellMar>
        <w:top w:w="0" w:type="dxa"/>
        <w:left w:w="108" w:type="dxa"/>
        <w:bottom w:w="0" w:type="dxa"/>
        <w:right w:w="108" w:type="dxa"/>
      </w:tblCellMar>
    </w:tblPr>
    <w:tblStylePr w:type="firstRow">
      <w:rPr>
        <w:sz w:val="24"/>
        <w:szCs w:val="24"/>
      </w:rPr>
      <w:tblPr/>
      <w:tcPr>
        <w:tcBorders>
          <w:top w:val="nil"/>
          <w:left w:val="nil"/>
          <w:bottom w:val="single" w:sz="24" w:space="0" w:color="999999"/>
          <w:right w:val="nil"/>
          <w:insideH w:val="nil"/>
          <w:insideV w:val="nil"/>
        </w:tcBorders>
        <w:shd w:val="clear" w:color="auto" w:fill="FFFFFF"/>
      </w:tcPr>
    </w:tblStylePr>
    <w:tblStylePr w:type="lastRow">
      <w:tblPr/>
      <w:tcPr>
        <w:tcBorders>
          <w:top w:val="single" w:sz="8" w:space="0" w:color="999999"/>
          <w:left w:val="nil"/>
          <w:bottom w:val="nil"/>
          <w:right w:val="nil"/>
          <w:insideH w:val="nil"/>
          <w:insideV w:val="nil"/>
        </w:tcBorders>
        <w:shd w:val="clear" w:color="auto" w:fill="FFFFFF"/>
      </w:tcPr>
    </w:tblStylePr>
    <w:tblStylePr w:type="firstCol">
      <w:tblPr/>
      <w:tcPr>
        <w:tcBorders>
          <w:top w:val="nil"/>
          <w:left w:val="nil"/>
          <w:bottom w:val="nil"/>
          <w:right w:val="single" w:sz="8" w:space="0" w:color="999999"/>
          <w:insideH w:val="nil"/>
          <w:insideV w:val="nil"/>
        </w:tcBorders>
        <w:shd w:val="clear" w:color="auto" w:fill="FFFFFF"/>
      </w:tcPr>
    </w:tblStylePr>
    <w:tblStylePr w:type="lastCol">
      <w:tblPr/>
      <w:tcPr>
        <w:tcBorders>
          <w:top w:val="nil"/>
          <w:left w:val="single" w:sz="8" w:space="0" w:color="99999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6E6"/>
      </w:tcPr>
    </w:tblStylePr>
    <w:tblStylePr w:type="band1Horz">
      <w:tblPr/>
      <w:tcPr>
        <w:tcBorders>
          <w:top w:val="nil"/>
          <w:bottom w:val="nil"/>
          <w:insideH w:val="nil"/>
          <w:insideV w:val="nil"/>
        </w:tcBorders>
        <w:shd w:val="clear" w:color="auto" w:fill="E6E6E6"/>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555555"/>
        <w:left w:val="single" w:sz="8" w:space="0" w:color="555555"/>
        <w:bottom w:val="single" w:sz="8" w:space="0" w:color="555555"/>
        <w:right w:val="single" w:sz="8" w:space="0" w:color="555555"/>
        <w:insideH w:val="single" w:sz="8" w:space="0" w:color="555555"/>
        <w:insideV w:val="single" w:sz="8" w:space="0" w:color="555555"/>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555555"/>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999999"/>
      </w:tcPr>
    </w:tblStylePr>
    <w:tblStylePr w:type="band1Horz">
      <w:tblPr/>
      <w:tcPr>
        <w:shd w:val="clear" w:color="auto" w:fill="999999"/>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rPr>
    </w:tblStylePr>
    <w:tblStylePr w:type="lastRow">
      <w:rPr>
        <w:b/>
        <w:bCs/>
      </w:rPr>
      <w:tblPr/>
      <w:tcPr>
        <w:tcBorders>
          <w:top w:val="single" w:sz="18" w:space="0" w:color="999999"/>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000000"/>
          <w:insideV w:val="single" w:sz="6" w:space="0" w:color="000000"/>
        </w:tcBorders>
        <w:shd w:val="clear" w:color="auto" w:fill="999999"/>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999999"/>
      </w:tcPr>
    </w:tblStylePr>
    <w:tblStylePr w:type="band1Horz">
      <w:tblPr/>
      <w:tcPr>
        <w:tcBorders>
          <w:insideH w:val="single" w:sz="6" w:space="0" w:color="E31B23"/>
          <w:insideV w:val="single" w:sz="6" w:space="0" w:color="E31B23"/>
        </w:tcBorders>
        <w:shd w:val="clear" w:color="auto" w:fill="999999"/>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top w:w="0" w:type="dxa"/>
        <w:left w:w="108" w:type="dxa"/>
        <w:bottom w:w="0" w:type="dxa"/>
        <w:right w:w="108" w:type="dxa"/>
      </w:tblCellMar>
    </w:tblPr>
    <w:tcPr>
      <w:shd w:val="clear" w:color="auto" w:fill="E6E6E6"/>
    </w:tcPr>
    <w:tblStylePr w:type="firstRow">
      <w:rPr>
        <w:b/>
        <w:bCs/>
        <w:color w:val="000000"/>
      </w:rPr>
      <w:tblPr/>
      <w:tcPr>
        <w:shd w:val="clear" w:color="auto" w:fill="F2F2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6E6E6"/>
      </w:tcPr>
    </w:tblStylePr>
    <w:tblStylePr w:type="band1Vert">
      <w:tblPr/>
      <w:tcPr>
        <w:shd w:val="clear" w:color="auto" w:fill="E6E6E6"/>
      </w:tcPr>
    </w:tblStylePr>
    <w:tblStylePr w:type="band1Horz">
      <w:tblPr/>
      <w:tcPr>
        <w:tcBorders>
          <w:insideH w:val="single" w:sz="6" w:space="0" w:color="999999"/>
          <w:insideV w:val="single" w:sz="6" w:space="0" w:color="999999"/>
        </w:tcBorders>
        <w:shd w:val="clear" w:color="auto" w:fill="E6E6E6"/>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31B2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31B2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31B2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31B2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99999"/>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99999"/>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6E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9999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9999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9999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9999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6E6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6E6E6"/>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E31B2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9F1118"/>
      </w:tcPr>
    </w:tblStylePr>
    <w:tblStylePr w:type="lastCol">
      <w:tblPr/>
      <w:tcPr>
        <w:tcBorders>
          <w:top w:val="nil"/>
          <w:left w:val="single" w:sz="18" w:space="0" w:color="FFFFFF"/>
          <w:bottom w:val="nil"/>
          <w:right w:val="nil"/>
          <w:insideH w:val="nil"/>
          <w:insideV w:val="nil"/>
        </w:tcBorders>
        <w:shd w:val="clear" w:color="auto" w:fill="9F1118"/>
      </w:tcPr>
    </w:tblStylePr>
    <w:tblStylePr w:type="band1Vert">
      <w:tblPr/>
      <w:tcPr>
        <w:tcBorders>
          <w:top w:val="nil"/>
          <w:left w:val="nil"/>
          <w:bottom w:val="nil"/>
          <w:right w:val="nil"/>
          <w:insideH w:val="nil"/>
          <w:insideV w:val="nil"/>
        </w:tcBorders>
        <w:shd w:val="clear" w:color="auto" w:fill="9F1118"/>
      </w:tcPr>
    </w:tblStylePr>
    <w:tblStylePr w:type="band1Horz">
      <w:tblPr/>
      <w:tcPr>
        <w:tcBorders>
          <w:top w:val="nil"/>
          <w:left w:val="nil"/>
          <w:bottom w:val="nil"/>
          <w:right w:val="nil"/>
          <w:insideH w:val="nil"/>
          <w:insideV w:val="nil"/>
        </w:tcBorders>
        <w:shd w:val="clear" w:color="auto" w:fill="9F1118"/>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insideH w:val="nil"/>
          <w:insideV w:val="nil"/>
        </w:tcBorders>
        <w:shd w:val="clear" w:color="auto" w:fill="555555"/>
      </w:tcPr>
    </w:tblStylePr>
    <w:tblStylePr w:type="lastCol">
      <w:tblPr/>
      <w:tcPr>
        <w:tcBorders>
          <w:top w:val="nil"/>
          <w:left w:val="single" w:sz="18" w:space="0" w:color="FFFFFF"/>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9999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F1118"/>
      </w:tcPr>
    </w:tblStylePr>
    <w:tblStylePr w:type="firstCol">
      <w:tblPr/>
      <w:tcPr>
        <w:tcBorders>
          <w:top w:val="nil"/>
          <w:left w:val="nil"/>
          <w:bottom w:val="nil"/>
          <w:right w:val="single" w:sz="18" w:space="0" w:color="FFFFFF"/>
          <w:insideH w:val="nil"/>
          <w:insideV w:val="nil"/>
        </w:tcBorders>
        <w:shd w:val="clear" w:color="auto" w:fill="E31B23"/>
      </w:tcPr>
    </w:tblStylePr>
    <w:tblStylePr w:type="lastCol">
      <w:tblPr/>
      <w:tcPr>
        <w:tcBorders>
          <w:top w:val="nil"/>
          <w:left w:val="single" w:sz="18" w:space="0" w:color="FFFFFF"/>
          <w:bottom w:val="nil"/>
          <w:right w:val="nil"/>
          <w:insideH w:val="nil"/>
          <w:insideV w:val="nil"/>
        </w:tcBorders>
        <w:shd w:val="clear" w:color="auto" w:fill="E31B23"/>
      </w:tcPr>
    </w:tblStylePr>
    <w:tblStylePr w:type="band1Vert">
      <w:tblPr/>
      <w:tcPr>
        <w:tcBorders>
          <w:top w:val="nil"/>
          <w:left w:val="nil"/>
          <w:bottom w:val="nil"/>
          <w:right w:val="nil"/>
          <w:insideH w:val="nil"/>
          <w:insideV w:val="nil"/>
        </w:tcBorders>
        <w:shd w:val="clear" w:color="auto" w:fill="E31B23"/>
      </w:tcPr>
    </w:tblStylePr>
    <w:tblStylePr w:type="band1Horz">
      <w:tblPr/>
      <w:tcPr>
        <w:tcBorders>
          <w:top w:val="nil"/>
          <w:left w:val="nil"/>
          <w:bottom w:val="nil"/>
          <w:right w:val="nil"/>
          <w:insideH w:val="nil"/>
          <w:insideV w:val="nil"/>
        </w:tcBorders>
        <w:shd w:val="clear" w:color="auto" w:fill="E31B23"/>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E31B23"/>
        <w:left w:val="single" w:sz="4" w:space="0" w:color="E31B23"/>
        <w:bottom w:val="single" w:sz="4" w:space="0" w:color="E31B23"/>
        <w:right w:val="single" w:sz="4" w:space="0" w:color="E31B23"/>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E31B2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999999"/>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55555"/>
      </w:tcPr>
    </w:tblStylePr>
    <w:tblStylePr w:type="firstCol">
      <w:rPr>
        <w:color w:val="FFFFFF"/>
      </w:rPr>
      <w:tblPr/>
      <w:tcPr>
        <w:tcBorders>
          <w:top w:val="nil"/>
          <w:left w:val="nil"/>
          <w:bottom w:val="nil"/>
          <w:right w:val="nil"/>
          <w:insideH w:val="single" w:sz="4" w:space="0" w:color="555555"/>
          <w:insideV w:val="nil"/>
        </w:tcBorders>
        <w:shd w:val="clear" w:color="auto" w:fill="555555"/>
      </w:tcPr>
    </w:tblStylePr>
    <w:tblStylePr w:type="lastCol">
      <w:rPr>
        <w:color w:val="FFFFFF"/>
      </w:rPr>
      <w:tblPr/>
      <w:tcPr>
        <w:tcBorders>
          <w:top w:val="nil"/>
          <w:left w:val="nil"/>
          <w:bottom w:val="nil"/>
          <w:right w:val="nil"/>
          <w:insideH w:val="nil"/>
          <w:insideV w:val="nil"/>
        </w:tcBorders>
        <w:shd w:val="clear" w:color="auto" w:fill="555555"/>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999999"/>
        <w:left w:val="single" w:sz="4" w:space="0" w:color="999999"/>
        <w:bottom w:val="single" w:sz="4" w:space="0" w:color="999999"/>
        <w:right w:val="single" w:sz="4" w:space="0" w:color="999999"/>
        <w:insideH w:val="single" w:sz="4" w:space="0" w:color="FFFFFF"/>
        <w:insideV w:val="single" w:sz="4" w:space="0" w:color="FFFFFF"/>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9999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1118"/>
      </w:tcPr>
    </w:tblStylePr>
    <w:tblStylePr w:type="firstCol">
      <w:rPr>
        <w:color w:val="FFFFFF"/>
      </w:rPr>
      <w:tblPr/>
      <w:tcPr>
        <w:tcBorders>
          <w:top w:val="nil"/>
          <w:left w:val="nil"/>
          <w:bottom w:val="nil"/>
          <w:right w:val="nil"/>
          <w:insideH w:val="single" w:sz="4" w:space="0" w:color="9F1118"/>
          <w:insideV w:val="nil"/>
        </w:tcBorders>
        <w:shd w:val="clear" w:color="auto" w:fill="9F1118"/>
      </w:tcPr>
    </w:tblStylePr>
    <w:tblStylePr w:type="lastCol">
      <w:rPr>
        <w:color w:val="FFFFFF"/>
      </w:rPr>
      <w:tblPr/>
      <w:tcPr>
        <w:tcBorders>
          <w:top w:val="nil"/>
          <w:left w:val="nil"/>
          <w:bottom w:val="nil"/>
          <w:right w:val="nil"/>
          <w:insideH w:val="nil"/>
          <w:insideV w:val="nil"/>
        </w:tcBorders>
        <w:shd w:val="clear" w:color="auto" w:fill="9F1118"/>
      </w:tcPr>
    </w:tblStylePr>
    <w:tblStylePr w:type="band1Vert">
      <w:tblPr/>
      <w:tcPr>
        <w:shd w:val="clear" w:color="auto" w:fill="E6E6E6"/>
      </w:tcPr>
    </w:tblStylePr>
    <w:tblStylePr w:type="band1Horz">
      <w:tblPr/>
      <w:tcPr>
        <w:shd w:val="clear" w:color="auto" w:fill="E6E6E6"/>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F1118"/>
      </w:tcPr>
    </w:tblStylePr>
    <w:tblStylePr w:type="lastRow">
      <w:rPr>
        <w:b/>
        <w:bCs/>
        <w:color w:val="9F111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555555"/>
      </w:tcPr>
    </w:tblStylePr>
    <w:tblStylePr w:type="lastRow">
      <w:rPr>
        <w:b/>
        <w:bCs/>
        <w:color w:val="55555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E31B23"/>
      </w:tcPr>
    </w:tblStylePr>
    <w:tblStylePr w:type="lastRow">
      <w:rPr>
        <w:b/>
        <w:bCs/>
        <w:color w:val="E31B2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FFFFFF"/>
      </w:rPr>
      <w:tblPr/>
      <w:tcPr>
        <w:tcBorders>
          <w:bottom w:val="single" w:sz="12" w:space="0" w:color="FFFFFF"/>
        </w:tcBorders>
        <w:shd w:val="clear" w:color="auto" w:fill="999999"/>
      </w:tcPr>
    </w:tblStylePr>
    <w:tblStylePr w:type="lastRow">
      <w:rPr>
        <w:b/>
        <w:bCs/>
        <w:color w:val="999999"/>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6E6"/>
      </w:tcPr>
    </w:tblStylePr>
    <w:tblStylePr w:type="band1Horz">
      <w:tblPr/>
      <w:tcPr>
        <w:shd w:val="clear" w:color="auto" w:fill="E6E6E6"/>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9F1118"/>
      </w:tcPr>
    </w:tblStylePr>
    <w:tblStylePr w:type="lastCol">
      <w:rPr>
        <w:color w:val="FFFFFF"/>
      </w:rPr>
      <w:tblPr/>
      <w:tcPr>
        <w:shd w:val="clear" w:color="auto" w:fill="9F1118"/>
      </w:tcPr>
    </w:tblStylePr>
    <w:tblStylePr w:type="band1Vert">
      <w:tblPr/>
      <w:tcPr>
        <w:shd w:val="clear" w:color="auto" w:fill="999999"/>
      </w:tcPr>
    </w:tblStylePr>
    <w:tblStylePr w:type="band1Horz">
      <w:tblPr/>
      <w:tcPr>
        <w:shd w:val="clear" w:color="auto" w:fill="999999"/>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E6E6E6"/>
      </w:tcPr>
    </w:tblStylePr>
    <w:tblStylePr w:type="band1Horz">
      <w:tblPr/>
      <w:tcPr>
        <w:shd w:val="clear" w:color="auto" w:fill="E6E6E6"/>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6E6E6"/>
    </w:tcPr>
    <w:tblStylePr w:type="firstRow">
      <w:rPr>
        <w:b/>
        <w:bCs/>
      </w:rPr>
      <w:tblPr/>
      <w:tcPr>
        <w:shd w:val="clear" w:color="auto" w:fill="E6E6E6"/>
      </w:tcPr>
    </w:tblStylePr>
    <w:tblStylePr w:type="lastRow">
      <w:rPr>
        <w:b/>
        <w:bCs/>
        <w:color w:val="000000"/>
      </w:rPr>
      <w:tblPr/>
      <w:tcPr>
        <w:shd w:val="clear" w:color="auto" w:fill="E6E6E6"/>
      </w:tcPr>
    </w:tblStylePr>
    <w:tblStylePr w:type="firstCol">
      <w:rPr>
        <w:color w:val="FFFFFF"/>
      </w:rPr>
      <w:tblPr/>
      <w:tcPr>
        <w:shd w:val="clear" w:color="auto" w:fill="E31B23"/>
      </w:tcPr>
    </w:tblStylePr>
    <w:tblStylePr w:type="lastCol">
      <w:rPr>
        <w:color w:val="FFFFFF"/>
      </w:rPr>
      <w:tblPr/>
      <w:tcPr>
        <w:shd w:val="clear" w:color="auto" w:fill="E31B23"/>
      </w:tcPr>
    </w:tblStylePr>
    <w:tblStylePr w:type="band1Vert">
      <w:tblPr/>
      <w:tcPr>
        <w:shd w:val="clear" w:color="auto" w:fill="E6E6E6"/>
      </w:tcPr>
    </w:tblStylePr>
    <w:tblStylePr w:type="band1Horz">
      <w:tblPr/>
      <w:tcPr>
        <w:shd w:val="clear" w:color="auto" w:fill="E6E6E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555555"/>
      </a:dk2>
      <a:lt2>
        <a:srgbClr val="E6E6E6"/>
      </a:lt2>
      <a:accent1>
        <a:srgbClr val="999999"/>
      </a:accent1>
      <a:accent2>
        <a:srgbClr val="E31B23"/>
      </a:accent2>
      <a:accent3>
        <a:srgbClr val="999999"/>
      </a:accent3>
      <a:accent4>
        <a:srgbClr val="999999"/>
      </a:accent4>
      <a:accent5>
        <a:srgbClr val="999999"/>
      </a:accent5>
      <a:accent6>
        <a:srgbClr val="999999"/>
      </a:accent6>
      <a:hlink>
        <a:srgbClr val="555555"/>
      </a:hlink>
      <a:folHlink>
        <a:srgbClr val="55555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19: Graphs, Tables, Visuals, and Error/Uncertainty</dc:title>
  <dc:subject>STARLAB Unit 4 weekly teaching guide</dc:subject>
  <dc:creator>python-docx</dc:creator>
  <cp:keywords>STARLAB, Unit 4, Week 19, weekly teaching guide, teacher</cp:keywords>
  <dc:description>generated by python-docx</dc:description>
  <cp:lastModifiedBy/>
  <cp:revision>1</cp:revision>
  <dcterms:created xsi:type="dcterms:W3CDTF">2013-12-23T23:15:00Z</dcterms:created>
  <dcterms:modified xsi:type="dcterms:W3CDTF">2013-12-23T23:15:00Z</dcterms:modified>
  <cp:category/>
</cp:coreProperties>
</file>