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21: Understanding Scientific Reports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5 Teaching Guide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/>
          <w:b/>
          <w:color w:val="E31B23"/>
        </w:rPr>
        <w:t>Teacher Overview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The first week should help students understand the structure and purpose of scientific reporting. Many students have written lab reports before, but a STARLAB report should feel more like a professional research paper than a worksheet. Students need to see examples, discuss what makes them effective, and begin mapping their own projects onto the structure of a scientific report.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/>
          <w:b/>
          <w:color w:val="E31B23"/>
        </w:rPr>
        <w:t>Weekly Objectives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/>
          <w:b/>
          <w:color w:val="111111"/>
        </w:rPr>
        <w:t>Students will be able to: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Identify the major sections of a scientific report.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Explain the purpose of each section.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Distinguish between background, methods, results, interpretation, and conclusion.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Begin planning their own report structure.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/>
          <w:b/>
          <w:color w:val="E31B23"/>
        </w:rPr>
        <w:t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Primary - Deck 13: Scientific Report Structure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Model report or simplified published paper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Weak sample report or teacher-created flawed example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Student Handout 1: Scientific Report Dissection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Student Handout 2: My Research Report Planning Map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Appendix A: Scientific Report Section Guide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Appendix L: Scientific Report Template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Optional / Teacher Reference - Appendix R: Teacher Implementation Notes for New STARLAB Chapters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Optional / Teacher Reference - Appendix S: STARLAB Research Showcase Preparation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/>
          <w:b/>
          <w:color w:val="E31B23"/>
        </w:rPr>
        <w:t>Suggested Weekly Flow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/>
          <w:b/>
          <w:color w:val="111111"/>
        </w:rPr>
        <w:t>Day 1: Unit Launch and Scientific Communication Discussion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/>
          <w:b/>
          <w:color w:val="111111"/>
        </w:rPr>
        <w:t>Begin by asking students to respond to the following prompt: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Opening Prompt:</w:t>
        <w:br/>
        <w:t>“You completed research and collected data. Why is the project still not finished?”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Use student responses to lead a discussion about the role of communication in science. Emphasize that scientific research matters only when others can understand, evaluate, question, reproduce, or build on it.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/>
          <w:b/>
          <w:color w:val="111111"/>
        </w:rPr>
        <w:t>Introduce the major products of the unit: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Scientific report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Visual aid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Oral presentation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Peer review and revision evidence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Explain that this unit will operate like a publication and conference preparation cycle.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/>
          <w:b/>
          <w:color w:val="111111"/>
        </w:rPr>
        <w:t>Day 2: Anatomy of a Scientific Report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Provide students with a model report or simplified research paper. Students should annotate the report using Student Handout 1.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/>
          <w:b/>
          <w:color w:val="111111"/>
        </w:rPr>
        <w:t>As students read, they should identify: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Where the author introduces the problem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Where the author explains the method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Where the author presents data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Where the author interprets the data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Where the author discusses limitations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Where the author explains future work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/>
          <w:b/>
          <w:color w:val="111111"/>
        </w:rPr>
        <w:t>After annotation, lead a whole-class discussion using these questions: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Which section was easiest to understand? Why?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Which section was most important for trusting the research?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Where did the author make a claim?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What evidence supported that claim?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What did the author admit was uncertain or limited?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/>
          <w:b/>
          <w:color w:val="111111"/>
        </w:rPr>
        <w:t>Day 3: Strong vs. Weak Report Comparison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Give students a weak sample report or excerpt. This can be teacher-created and should include common issues such as vague methods, unlabeled graphs, unsupported conclusions, and overly casual language.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Students compare the weak example to the strong example and complete the comparison questions on Student Handout 1.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Teacher discussion should emphasize that strong scientific writing is not about using complicated words. It is about being clear, precise, honest, and evidence-based.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/>
          <w:b/>
          <w:color w:val="111111"/>
        </w:rPr>
        <w:t>Day 4: Mapping Student Projects to Report Sections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Students complete Student Handout 2: My Research Report Planning Map.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They should list what information they already have for each section and what information is missing.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/>
          <w:b/>
          <w:color w:val="111111"/>
        </w:rPr>
        <w:t>Possible teacher conference questions: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What is the main scientific or engineering question your report will answer?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What background information does your reader need before they can understand your work?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Which data set is most important to your argument?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What is one limitation or source of uncertainty you already know you need to discuss?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/>
          <w:b/>
          <w:color w:val="111111"/>
        </w:rPr>
        <w:t>Day 5: Checkpoint and Mini-Conferences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Students submit or share their planning maps. The teacher conducts brief conferences or provides written feedback.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/>
          <w:b/>
          <w:color w:val="E31B23"/>
        </w:rPr>
        <w:t>Teacher-Only Showcase Planning Milestone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Milestone 1 - Event framework (approximately 12 weeks before Week 33): select the public showcase format, tentative date and time, intended public audience, venue, and administrative or district support. Use the STARLAB Showcase Planning Kit and Unit 5 Appendix S as planning references.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b/>
          <w:color w:val="111111"/>
        </w:rPr>
        <w:t>This is teacher planning only. Do not add a student assignment, handout, deliverable, or print requirement this week.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/>
          <w:b/>
          <w:color w:val="E31B23"/>
        </w:rPr>
        <w:t>Week 21 Deliverables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Annotated scientific report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Strong vs. weak report comparison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Research report planning map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/>
          <w:b/>
          <w:color w:val="E31B23"/>
        </w:rPr>
        <w:t>Teacher Notes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/>
          <w:color w:val="111111"/>
        </w:rPr>
        <w:t>This week is not about producing polished writing yet. It is about helping students understand the architecture of a scientific report. Students who skip this step often write reports that are organized chronologically: “First I did this, then I did this.” The goal is to shift them toward scientific structure: “Here is the problem, here is how I investigated it, here is what the evidence shows, and here is what it means.”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864" w:left="1080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5 | WEEK 21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E31B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E31B2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9999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5555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9999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999999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 w:eastAsia="Arial" w:cs="Arial"/>
      <w:b/>
      <w:i w:val="0"/>
      <w:color w:val="11111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 w:eastAsia="Arial" w:cs="Arial"/>
      <w:b/>
      <w:i w:val="0"/>
      <w:iCs/>
      <w:color w:val="555555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52" w:lineRule="auto"/>
      <w:contextualSpacing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52" w:lineRule="auto"/>
      <w:contextualSpacing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999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5555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999999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99999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999999"/>
      </w:pBdr>
      <w:spacing w:before="200" w:after="280"/>
      <w:ind w:left="936" w:right="936"/>
    </w:pPr>
    <w:rPr>
      <w:b/>
      <w:bCs/>
      <w:i/>
      <w:iCs/>
      <w:color w:val="99999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999999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999999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999999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31B23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31B23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F1118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1B23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6E6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6E6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1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  <w:shd w:val="clear" w:color="auto" w:fill="E6E6E6"/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  <w:shd w:val="clear" w:color="auto" w:fill="E6E6E6"/>
      </w:tcPr>
    </w:tblStylePr>
    <w:tblStylePr w:type="band2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1B23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31B2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1B2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31B2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  <w:insideV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5555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E31B23"/>
          <w:insideV w:val="single" w:sz="6" w:space="0" w:color="E31B23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1B2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F111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1B23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E31B23"/>
        <w:bottom w:val="single" w:sz="4" w:space="0" w:color="E31B23"/>
        <w:right w:val="single" w:sz="4" w:space="0" w:color="E31B23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E31B23"/>
      </w:tcPr>
    </w:tblStylePr>
    <w:tblStylePr w:type="lastRow">
      <w:rPr>
        <w:b/>
        <w:bCs/>
        <w:color w:val="E31B2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99999"/>
      </w:tcPr>
    </w:tblStylePr>
    <w:tblStylePr w:type="lastRow">
      <w:rPr>
        <w:b/>
        <w:bCs/>
        <w:color w:val="999999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9F1118"/>
      </w:tcPr>
    </w:tblStylePr>
    <w:tblStylePr w:type="lastCol">
      <w:rPr>
        <w:color w:val="FFFFFF"/>
      </w:rPr>
      <w:tblPr/>
      <w:tcPr>
        <w:shd w:val="clear" w:color="auto" w:fill="9F1118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E31B23"/>
      </w:tcPr>
    </w:tblStylePr>
    <w:tblStylePr w:type="lastCol">
      <w:rPr>
        <w:color w:val="FFFFFF"/>
      </w:rPr>
      <w:tblPr/>
      <w:tcPr>
        <w:shd w:val="clear" w:color="auto" w:fill="E31B23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9999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9999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5555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9999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999999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999999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999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5555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999999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99999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999999"/>
      </w:pBdr>
      <w:spacing w:before="200" w:after="280"/>
      <w:ind w:left="936" w:right="936"/>
    </w:pPr>
    <w:rPr>
      <w:b/>
      <w:bCs/>
      <w:i/>
      <w:iCs/>
      <w:color w:val="99999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999999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999999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999999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31B23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31B23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F1118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1B23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6E6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6E6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1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  <w:shd w:val="clear" w:color="auto" w:fill="E6E6E6"/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  <w:shd w:val="clear" w:color="auto" w:fill="E6E6E6"/>
      </w:tcPr>
    </w:tblStylePr>
    <w:tblStylePr w:type="band2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1B23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31B2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1B2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31B2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  <w:insideV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5555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E31B23"/>
          <w:insideV w:val="single" w:sz="6" w:space="0" w:color="E31B23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1B2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F111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1B23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E31B23"/>
        <w:bottom w:val="single" w:sz="4" w:space="0" w:color="E31B23"/>
        <w:right w:val="single" w:sz="4" w:space="0" w:color="E31B23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E31B23"/>
      </w:tcPr>
    </w:tblStylePr>
    <w:tblStylePr w:type="lastRow">
      <w:rPr>
        <w:b/>
        <w:bCs/>
        <w:color w:val="E31B2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99999"/>
      </w:tcPr>
    </w:tblStylePr>
    <w:tblStylePr w:type="lastRow">
      <w:rPr>
        <w:b/>
        <w:bCs/>
        <w:color w:val="999999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9F1118"/>
      </w:tcPr>
    </w:tblStylePr>
    <w:tblStylePr w:type="lastCol">
      <w:rPr>
        <w:color w:val="FFFFFF"/>
      </w:rPr>
      <w:tblPr/>
      <w:tcPr>
        <w:shd w:val="clear" w:color="auto" w:fill="9F1118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E31B23"/>
      </w:tcPr>
    </w:tblStylePr>
    <w:tblStylePr w:type="lastCol">
      <w:rPr>
        <w:color w:val="FFFFFF"/>
      </w:rPr>
      <w:tblPr/>
      <w:tcPr>
        <w:shd w:val="clear" w:color="auto" w:fill="E31B23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21: Understanding Scientific Reports</dc:title>
  <dc:subject>STARLAB Unit 5 weekly teaching guide</dc:subject>
  <dc:creator>python-docx</dc:creator>
  <cp:keywords>STARLAB, Unit 5, Week 21, weekly teaching guide, teacher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