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Brand"/>
        <w:keepNext/>
        <w:widowControl/>
        <w:spacing w:before="0" w:after="40" w:line="240" w:lineRule="auto"/>
      </w:pPr>
      <w:r>
        <w:rPr>
          <w:rFonts w:ascii="Arial" w:hAnsi="Arial"/>
          <w:b/>
          <w:color w:val="E31B23"/>
        </w:rPr>
        <w:t>STARLAB</w:t>
      </w:r>
    </w:p>
    <w:p>
      <w:pPr>
        <w:pStyle w:val="STARLABWeekTitle"/>
        <w:keepNext/>
        <w:widowControl/>
        <w:spacing w:before="0" w:after="80" w:line="240" w:lineRule="auto"/>
      </w:pPr>
      <w:r>
        <w:rPr>
          <w:rFonts w:ascii="Arial" w:hAnsi="Arial"/>
          <w:b/>
          <w:color w:val="111111"/>
        </w:rPr>
        <w:t>Week 26: Conclusion and Full Report Assembly</w:t>
      </w:r>
    </w:p>
    <w:p>
      <w:pPr>
        <w:pStyle w:val="STARLABGuideSubtitle"/>
        <w:keepNext/>
        <w:widowControl/>
        <w:pBdr>
          <w:bottom w:val="single" w:sz="14" w:space="5" w:color="E31B23"/>
        </w:pBdr>
        <w:spacing w:before="0" w:after="260" w:line="240" w:lineRule="auto"/>
      </w:pPr>
      <w:r>
        <w:rPr>
          <w:rFonts w:ascii="Arial" w:hAnsi="Arial"/>
          <w:color w:val="555555"/>
        </w:rPr>
        <w:t>STARLAB Unit 5 Teaching Guide</w:t>
      </w:r>
    </w:p>
    <w:p>
      <w:pPr>
        <w:pStyle w:val="Heading2"/>
        <w:keepNext/>
        <w:widowControl/>
        <w:spacing w:before="220" w:after="80" w:line="240" w:lineRule="auto"/>
      </w:pPr>
      <w:r>
        <w:rPr>
          <w:rFonts w:ascii="Arial" w:hAnsi="Arial"/>
          <w:b/>
          <w:color w:val="E31B23"/>
        </w:rPr>
        <w:t>Teacher Overview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This week students assemble the complete report. The teacher should help students focus on organization, consistency, formatting, and flow. The goal is not a final draft yet. The goal is a complete draft that can be meaningfully reviewed.</w:t>
      </w:r>
    </w:p>
    <w:p>
      <w:pPr>
        <w:pStyle w:val="Heading2"/>
        <w:keepNext/>
        <w:widowControl/>
        <w:spacing w:before="220" w:after="80" w:line="240" w:lineRule="auto"/>
      </w:pPr>
      <w:r>
        <w:rPr>
          <w:rFonts w:ascii="Arial" w:hAnsi="Arial"/>
          <w:b/>
          <w:color w:val="E31B23"/>
        </w:rPr>
        <w:t>Weekly Objectives</w:t>
      </w:r>
    </w:p>
    <w:p>
      <w:pPr>
        <w:pStyle w:val="STARLABLabel"/>
        <w:keepNext/>
        <w:widowControl/>
        <w:spacing w:before="80" w:after="20" w:line="240" w:lineRule="auto"/>
      </w:pPr>
      <w:r>
        <w:rPr>
          <w:rFonts w:ascii="Arial" w:hAnsi="Arial"/>
          <w:b/>
          <w:color w:val="111111"/>
        </w:rPr>
        <w:t>Students will be able to: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Write a concise conclusion.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Assemble all report sections into a complete draft.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Format visuals, captions, headings, and references consistently.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Use a checklist to self-assess the report before peer review.</w:t>
      </w:r>
    </w:p>
    <w:p>
      <w:pPr>
        <w:pStyle w:val="Heading2"/>
        <w:keepNext/>
        <w:widowControl/>
        <w:spacing w:before="220" w:after="80" w:line="240" w:lineRule="auto"/>
      </w:pPr>
      <w:r>
        <w:rPr>
          <w:rFonts w:ascii="Arial" w:hAnsi="Arial"/>
          <w:b/>
          <w:color w:val="E31B23"/>
        </w:rPr>
        <w:t>Teacher Materials</w:t>
      </w:r>
    </w:p>
    <w:p>
      <w:pPr>
        <w:pStyle w:val="STARLABDeckUse"/>
        <w:shd w:val="clear" w:color="auto" w:fill="F2F2F2"/>
        <w:keepNext w:val="0"/>
        <w:widowControl/>
        <w:pBdr>
          <w:left w:val="single" w:sz="18" w:space="6" w:color="E31B23"/>
        </w:pBdr>
        <w:spacing w:before="40" w:after="140" w:line="252" w:lineRule="auto"/>
      </w:pPr>
      <w:r>
        <w:rPr>
          <w:rFonts w:ascii="Arial" w:hAnsi="Arial"/>
          <w:color w:val="111111"/>
        </w:rPr>
        <w:t>Deck Use: No New Deck; Revisit / Reference - Deck 13: Scientific Report Structure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Student Handout 7: Conclusion and Full Draft Assembly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Appendix J: Full Report Checklist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Appendix K: Report Formatting Guide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Appendix L: Scientific Report Template</w:t>
      </w:r>
    </w:p>
    <w:p>
      <w:pPr>
        <w:pStyle w:val="Heading2"/>
        <w:keepNext/>
        <w:widowControl/>
        <w:spacing w:before="220" w:after="80" w:line="240" w:lineRule="auto"/>
      </w:pPr>
      <w:r>
        <w:rPr>
          <w:rFonts w:ascii="Arial" w:hAnsi="Arial"/>
          <w:b/>
          <w:color w:val="E31B23"/>
        </w:rPr>
        <w:t>Suggested Weekly Flow</w:t>
      </w:r>
    </w:p>
    <w:p>
      <w:pPr>
        <w:pStyle w:val="Heading3"/>
        <w:keepNext/>
        <w:widowControl/>
        <w:spacing w:before="140" w:after="40" w:line="240" w:lineRule="auto"/>
      </w:pPr>
      <w:r>
        <w:rPr>
          <w:rFonts w:ascii="Arial" w:hAnsi="Arial"/>
          <w:b/>
          <w:color w:val="111111"/>
        </w:rPr>
        <w:t>Day 1: Writing the Conclusion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Explain that a conclusion should briefly answer the research question, summarize the most important finding, acknowledge the significance, and point toward future work.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A conclusion should not introduce large amounts of new data.</w:t>
      </w:r>
    </w:p>
    <w:p>
      <w:pPr>
        <w:pStyle w:val="STARLABLabel"/>
        <w:keepNext/>
        <w:widowControl/>
        <w:spacing w:before="80" w:after="20" w:line="240" w:lineRule="auto"/>
      </w:pPr>
      <w:r>
        <w:rPr>
          <w:rFonts w:ascii="Arial" w:hAnsi="Arial"/>
          <w:b/>
          <w:color w:val="111111"/>
        </w:rPr>
        <w:t>Suggested conclusion structure: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Restate the purpose of the project.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Summarize the main finding.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Explain the significance of the finding.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Acknowledge a major limitation or next step.</w:t>
      </w:r>
    </w:p>
    <w:p>
      <w:pPr>
        <w:pStyle w:val="Heading3"/>
        <w:keepNext/>
        <w:widowControl/>
        <w:spacing w:before="140" w:after="40" w:line="240" w:lineRule="auto"/>
      </w:pPr>
      <w:r>
        <w:rPr>
          <w:rFonts w:ascii="Arial" w:hAnsi="Arial"/>
          <w:b/>
          <w:color w:val="111111"/>
        </w:rPr>
        <w:t>Day 2: Report Assembly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Students assemble the report using the template.</w:t>
      </w:r>
    </w:p>
    <w:p>
      <w:pPr>
        <w:pStyle w:val="STARLABLabel"/>
        <w:keepNext/>
        <w:widowControl/>
        <w:spacing w:before="80" w:after="20" w:line="240" w:lineRule="auto"/>
      </w:pPr>
      <w:r>
        <w:rPr>
          <w:rFonts w:ascii="Arial" w:hAnsi="Arial"/>
          <w:b/>
          <w:color w:val="111111"/>
        </w:rPr>
        <w:t>Recommended order:</w:t>
      </w:r>
    </w:p>
    <w:p>
      <w:pPr>
        <w:pStyle w:val="ListBullet"/>
        <w:keepNext w:val="0"/>
        <w:widowControl/>
        <w:spacing w:before="0" w:after="40" w:line="252" w:lineRule="auto"/>
      </w:pPr>
      <w:r>
        <w:rPr>
          <w:rFonts w:ascii="Arial" w:hAnsi="Arial"/>
          <w:color w:val="111111"/>
        </w:rPr>
        <w:t>Title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Abstract or Summary, if required</w:t>
      </w:r>
    </w:p>
    <w:p>
      <w:pPr>
        <w:pStyle w:val="ListBullet"/>
        <w:keepNext w:val="0"/>
        <w:widowControl/>
        <w:spacing w:before="0" w:after="40" w:line="252" w:lineRule="auto"/>
      </w:pPr>
      <w:r>
        <w:rPr>
          <w:rFonts w:ascii="Arial" w:hAnsi="Arial"/>
          <w:color w:val="111111"/>
        </w:rPr>
        <w:t>Introduction</w:t>
      </w:r>
    </w:p>
    <w:p>
      <w:pPr>
        <w:pStyle w:val="ListBullet"/>
        <w:keepNext w:val="0"/>
        <w:widowControl/>
        <w:spacing w:before="0" w:after="40" w:line="252" w:lineRule="auto"/>
      </w:pPr>
      <w:r>
        <w:rPr>
          <w:rFonts w:ascii="Arial" w:hAnsi="Arial"/>
          <w:color w:val="111111"/>
        </w:rPr>
        <w:t>Methods</w:t>
      </w:r>
    </w:p>
    <w:p>
      <w:pPr>
        <w:pStyle w:val="ListBullet"/>
        <w:keepNext w:val="0"/>
        <w:widowControl/>
        <w:spacing w:before="0" w:after="40" w:line="252" w:lineRule="auto"/>
      </w:pPr>
      <w:r>
        <w:rPr>
          <w:rFonts w:ascii="Arial" w:hAnsi="Arial"/>
          <w:color w:val="111111"/>
        </w:rPr>
        <w:t>Results</w:t>
      </w:r>
    </w:p>
    <w:p>
      <w:pPr>
        <w:pStyle w:val="ListBullet"/>
        <w:keepNext w:val="0"/>
        <w:widowControl/>
        <w:spacing w:before="0" w:after="40" w:line="252" w:lineRule="auto"/>
      </w:pPr>
      <w:r>
        <w:rPr>
          <w:rFonts w:ascii="Arial" w:hAnsi="Arial"/>
          <w:color w:val="111111"/>
        </w:rPr>
        <w:t>Discussion</w:t>
      </w:r>
    </w:p>
    <w:p>
      <w:pPr>
        <w:pStyle w:val="ListBullet"/>
        <w:keepNext w:val="0"/>
        <w:widowControl/>
        <w:spacing w:before="0" w:after="40" w:line="252" w:lineRule="auto"/>
      </w:pPr>
      <w:r>
        <w:rPr>
          <w:rFonts w:ascii="Arial" w:hAnsi="Arial"/>
          <w:color w:val="111111"/>
        </w:rPr>
        <w:t>Conclusion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References or Works Cited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Appendix, if needed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Teachers may choose whether to require an abstract. If students will present publicly, an abstract is strongly recommended.</w:t>
      </w:r>
    </w:p>
    <w:p>
      <w:pPr>
        <w:pStyle w:val="Heading3"/>
        <w:keepNext/>
        <w:widowControl/>
        <w:spacing w:before="140" w:after="40" w:line="240" w:lineRule="auto"/>
      </w:pPr>
      <w:r>
        <w:rPr>
          <w:rFonts w:ascii="Arial" w:hAnsi="Arial"/>
          <w:b/>
          <w:color w:val="111111"/>
        </w:rPr>
        <w:t>Day 3: Formatting and Visual Integration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Students insert figures and tables in appropriate locations. Each figure or table should be referenced in the body of the report.</w:t>
      </w:r>
    </w:p>
    <w:p>
      <w:pPr>
        <w:pStyle w:val="STARLABLabel"/>
        <w:keepNext/>
        <w:widowControl/>
        <w:spacing w:before="80" w:after="20" w:line="240" w:lineRule="auto"/>
      </w:pPr>
      <w:r>
        <w:rPr>
          <w:rFonts w:ascii="Arial" w:hAnsi="Arial"/>
          <w:b/>
          <w:color w:val="111111"/>
        </w:rPr>
        <w:t>Example: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“As shown in Figure 2, the average voltage increased as light intensity increased.”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Students should avoid placing graphs at the end without explanation unless using a formal appendix.</w:t>
      </w:r>
    </w:p>
    <w:p>
      <w:pPr>
        <w:pStyle w:val="Heading3"/>
        <w:keepNext/>
        <w:widowControl/>
        <w:spacing w:before="140" w:after="40" w:line="240" w:lineRule="auto"/>
      </w:pPr>
      <w:r>
        <w:rPr>
          <w:rFonts w:ascii="Arial" w:hAnsi="Arial"/>
          <w:b/>
          <w:color w:val="111111"/>
        </w:rPr>
        <w:t>Day 4: Self-Assessment Checklist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Students complete Appendix J: Full Report Checklist.</w:t>
      </w:r>
    </w:p>
    <w:p>
      <w:pPr>
        <w:pStyle w:val="STARLABLabel"/>
        <w:keepNext/>
        <w:widowControl/>
        <w:spacing w:before="80" w:after="20" w:line="240" w:lineRule="auto"/>
      </w:pPr>
      <w:r>
        <w:rPr>
          <w:rFonts w:ascii="Arial" w:hAnsi="Arial"/>
          <w:b/>
          <w:color w:val="111111"/>
        </w:rPr>
        <w:t>They should mark each item as: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Complete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Needs revision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Not yet included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Students then identify their top three revision priorities.</w:t>
      </w:r>
    </w:p>
    <w:p>
      <w:pPr>
        <w:pStyle w:val="Heading3"/>
        <w:keepNext/>
        <w:widowControl/>
        <w:spacing w:before="140" w:after="40" w:line="240" w:lineRule="auto"/>
      </w:pPr>
      <w:r>
        <w:rPr>
          <w:rFonts w:ascii="Arial" w:hAnsi="Arial"/>
          <w:b/>
          <w:color w:val="111111"/>
        </w:rPr>
        <w:t>Day 5: Submission of Draft 1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Students submit or share Full Draft 1.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Teachers may provide brief written feedback before Week 27 peer review, or they may use Week 27 conferences.</w:t>
      </w:r>
    </w:p>
    <w:p>
      <w:pPr>
        <w:pStyle w:val="Heading2"/>
        <w:keepNext/>
        <w:widowControl/>
        <w:spacing w:before="220" w:after="80" w:line="240" w:lineRule="auto"/>
      </w:pPr>
      <w:r>
        <w:rPr>
          <w:rFonts w:ascii="Arial" w:hAnsi="Arial"/>
          <w:b/>
          <w:color w:val="E31B23"/>
        </w:rPr>
        <w:t>Week 26 Deliverables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Conclusion draft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Complete Draft 1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Self-assessment checklist</w:t>
      </w:r>
    </w:p>
    <w:p>
      <w:pPr>
        <w:keepNext w:val="0"/>
        <w:widowControl/>
        <w:numPr>
          <w:ilvl w:val="0"/>
          <w:numId w:val="10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Revision priority list</w:t>
      </w:r>
    </w:p>
    <w:p>
      <w:pPr>
        <w:pStyle w:val="Heading2"/>
        <w:keepNext/>
        <w:widowControl/>
        <w:spacing w:before="220" w:after="80" w:line="240" w:lineRule="auto"/>
      </w:pPr>
      <w:r>
        <w:rPr>
          <w:rFonts w:ascii="Arial" w:hAnsi="Arial"/>
          <w:b/>
          <w:color w:val="E31B23"/>
        </w:rPr>
        <w:t>Teacher Notes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A complete imperfect draft is better than an incomplete polished section. Students need a full draft before meaningful revision can begin.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7"/>
      </w:rPr>
      <w:t xml:space="preserve">STARLAB | UNIT 5 | WEEK 26 | PAGE </w:t>
    </w:r>
    <w:r>
      <w:rPr>
        <w:rFonts w:ascii="Arial" w:hAnsi="Arial"/>
        <w:color w:val="55555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540" w:hanging="180"/>
      </w:pPr>
      <w:rPr>
        <w:rFonts w:ascii="Arial" w:hAnsi="Arial" w:eastAsia="Arial" w:cs="Arial"/>
        <w:sz w:val="21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2" w:lineRule="auto"/>
    </w:pPr>
    <w:rPr>
      <w:rFonts w:ascii="Arial" w:hAnsi="Arial" w:eastAsia="Arial" w:cs="Arial"/>
      <w:b w:val="0"/>
      <w:i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Arial" w:hAnsi="Arial" w:eastAsia="Arial" w:cs="Arial"/>
      <w:b w:val="0"/>
      <w:i w:val="0"/>
      <w:color w:val="55555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E31B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E31B2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999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5555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5555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5555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9999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5555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5555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9999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99999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i w:val="0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555555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 w:eastAsia="Arial" w:cs="Arial"/>
      <w:b/>
      <w:i w:val="0"/>
      <w:iCs/>
      <w:color w:val="55555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99999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52" w:lineRule="auto"/>
      <w:contextualSpacing/>
    </w:pPr>
    <w:rPr>
      <w:rFonts w:ascii="Arial" w:hAnsi="Arial" w:eastAsia="Arial" w:cs="Arial"/>
      <w:b w:val="0"/>
      <w:i w:val="0"/>
      <w:color w:val="111111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52" w:lineRule="auto"/>
      <w:contextualSpacing/>
    </w:pPr>
    <w:rPr>
      <w:rFonts w:ascii="Arial" w:hAnsi="Arial" w:eastAsia="Arial" w:cs="Arial"/>
      <w:b w:val="0"/>
      <w:i w:val="0"/>
      <w:color w:val="111111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999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55555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99999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9999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99999"/>
      </w:pBdr>
      <w:spacing w:before="200" w:after="280"/>
      <w:ind w:left="936" w:right="936"/>
    </w:pPr>
    <w:rPr>
      <w:b/>
      <w:bCs/>
      <w:i/>
      <w:iCs/>
      <w:color w:val="99999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99999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999999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99999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31B23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31B23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F1118"/>
    </w:rPr>
    <w:tblPr>
      <w:tblStyleRowBandSize w:val="1"/>
      <w:tblStyleColBandSize w:val="1"/>
      <w:tblInd w:w="0" w:type="dxa"/>
      <w:tblBorders>
        <w:top w:val="single" w:sz="8" w:space="0" w:color="E31B23"/>
        <w:bottom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1B23"/>
          <w:left w:val="nil"/>
          <w:bottom w:val="single" w:sz="8" w:space="0" w:color="E31B2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1B23"/>
          <w:left w:val="nil"/>
          <w:bottom w:val="single" w:sz="8" w:space="0" w:color="E31B2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1B23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31B2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band1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6E6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6E6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  <w:insideH w:val="single" w:sz="8" w:space="0" w:color="E31B23"/>
        <w:insideV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1B23"/>
          <w:left w:val="single" w:sz="8" w:space="0" w:color="E31B23"/>
          <w:bottom w:val="single" w:sz="18" w:space="0" w:color="E31B23"/>
          <w:right w:val="single" w:sz="8" w:space="0" w:color="E31B23"/>
          <w:insideH w:val="nil"/>
          <w:insideV w:val="single" w:sz="8" w:space="0" w:color="E31B2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1B23"/>
          <w:left w:val="single" w:sz="8" w:space="0" w:color="E31B23"/>
          <w:bottom w:val="single" w:sz="8" w:space="0" w:color="E31B23"/>
          <w:right w:val="single" w:sz="8" w:space="0" w:color="E31B23"/>
          <w:insideH w:val="nil"/>
          <w:insideV w:val="single" w:sz="8" w:space="0" w:color="E31B2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band1Vert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  <w:shd w:val="clear" w:color="auto" w:fill="E6E6E6"/>
      </w:tcPr>
    </w:tblStylePr>
    <w:tblStylePr w:type="band1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  <w:insideV w:val="single" w:sz="8" w:space="0" w:color="E31B23"/>
        </w:tcBorders>
        <w:shd w:val="clear" w:color="auto" w:fill="E6E6E6"/>
      </w:tcPr>
    </w:tblStylePr>
    <w:tblStylePr w:type="band2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  <w:insideV w:val="single" w:sz="8" w:space="0" w:color="E31B23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55555"/>
        <w:left w:val="single" w:sz="8" w:space="0" w:color="555555"/>
        <w:bottom w:val="single" w:sz="8" w:space="0" w:color="555555"/>
        <w:right w:val="single" w:sz="8" w:space="0" w:color="555555"/>
        <w:insideH w:val="single" w:sz="8" w:space="0" w:color="55555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E31B2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1B2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1B2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bottom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1B23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E31B23"/>
          <w:bottom w:val="single" w:sz="8" w:space="0" w:color="E31B2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1B23"/>
          <w:bottom w:val="single" w:sz="8" w:space="0" w:color="E31B23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31B2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1B2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31B2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55555"/>
        <w:left w:val="single" w:sz="8" w:space="0" w:color="555555"/>
        <w:bottom w:val="single" w:sz="8" w:space="0" w:color="555555"/>
        <w:right w:val="single" w:sz="8" w:space="0" w:color="555555"/>
        <w:insideH w:val="single" w:sz="8" w:space="0" w:color="555555"/>
        <w:insideV w:val="single" w:sz="8" w:space="0" w:color="55555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5555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999999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  <w:insideH w:val="single" w:sz="8" w:space="0" w:color="E31B23"/>
        <w:insideV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tcBorders>
          <w:insideH w:val="single" w:sz="6" w:space="0" w:color="E31B23"/>
          <w:insideV w:val="single" w:sz="6" w:space="0" w:color="E31B23"/>
        </w:tcBorders>
        <w:shd w:val="clear" w:color="auto" w:fill="999999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9999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99999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31B2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31B2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31B2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9999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99999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1B2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F111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1B2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1B23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E31B23"/>
        <w:bottom w:val="single" w:sz="4" w:space="0" w:color="E31B23"/>
        <w:right w:val="single" w:sz="4" w:space="0" w:color="E31B23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F11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F1118"/>
          <w:insideV w:val="nil"/>
        </w:tcBorders>
        <w:shd w:val="clear" w:color="auto" w:fill="9F11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99999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F11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F1118"/>
          <w:insideV w:val="nil"/>
        </w:tcBorders>
        <w:shd w:val="clear" w:color="auto" w:fill="9F11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55555"/>
      </w:tcPr>
    </w:tblStylePr>
    <w:tblStylePr w:type="lastRow">
      <w:rPr>
        <w:b/>
        <w:bCs/>
        <w:color w:val="55555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55555"/>
      </w:tcPr>
    </w:tblStylePr>
    <w:tblStylePr w:type="lastRow">
      <w:rPr>
        <w:b/>
        <w:bCs/>
        <w:color w:val="55555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E31B23"/>
      </w:tcPr>
    </w:tblStylePr>
    <w:tblStylePr w:type="lastRow">
      <w:rPr>
        <w:b/>
        <w:bCs/>
        <w:color w:val="E31B2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99999"/>
      </w:tcPr>
    </w:tblStylePr>
    <w:tblStylePr w:type="lastRow">
      <w:rPr>
        <w:b/>
        <w:bCs/>
        <w:color w:val="999999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9F1118"/>
      </w:tcPr>
    </w:tblStylePr>
    <w:tblStylePr w:type="lastCol">
      <w:rPr>
        <w:color w:val="FFFFFF"/>
      </w:rPr>
      <w:tblPr/>
      <w:tcPr>
        <w:shd w:val="clear" w:color="auto" w:fill="9F1118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E31B23"/>
      </w:tcPr>
    </w:tblStylePr>
    <w:tblStylePr w:type="lastCol">
      <w:rPr>
        <w:color w:val="FFFFFF"/>
      </w:rPr>
      <w:tblPr/>
      <w:tcPr>
        <w:shd w:val="clear" w:color="auto" w:fill="E31B23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paragraph" w:customStyle="1" w:styleId="STARLABBrand">
    <w:name w:val="STARLAB Brand"/>
    <w:basedOn w:val="Normal"/>
    <w:pPr>
      <w:keepNext/>
      <w:spacing w:before="0" w:after="40"/>
    </w:pPr>
    <w:rPr>
      <w:rFonts w:ascii="Arial" w:hAnsi="Arial" w:eastAsia="Arial" w:cs="Arial"/>
      <w:b/>
      <w:i w:val="0"/>
      <w:color w:val="E31B23"/>
      <w:sz w:val="21"/>
    </w:rPr>
  </w:style>
  <w:style w:type="paragraph" w:customStyle="1" w:styleId="STARLABWeekTitle">
    <w:name w:val="STARLAB Week Title"/>
    <w:basedOn w:val="Normal"/>
    <w:pPr>
      <w:keepNext/>
      <w:spacing w:before="0" w:after="80" w:line="240" w:lineRule="auto"/>
    </w:pPr>
    <w:rPr>
      <w:rFonts w:ascii="Arial" w:hAnsi="Arial" w:eastAsia="Arial" w:cs="Arial"/>
      <w:b/>
      <w:i w:val="0"/>
      <w:color w:val="111111"/>
      <w:sz w:val="48"/>
    </w:rPr>
  </w:style>
  <w:style w:type="paragraph" w:customStyle="1" w:styleId="STARLABGuideSubtitle">
    <w:name w:val="STARLAB Guide Subtitle"/>
    <w:basedOn w:val="Normal"/>
    <w:pPr>
      <w:keepNext/>
      <w:spacing w:before="0" w:after="260"/>
    </w:pPr>
    <w:rPr>
      <w:rFonts w:ascii="Arial" w:hAnsi="Arial" w:eastAsia="Arial" w:cs="Arial"/>
      <w:b/>
      <w:i w:val="0"/>
      <w:color w:val="555555"/>
      <w:sz w:val="21"/>
    </w:rPr>
  </w:style>
  <w:style w:type="paragraph" w:customStyle="1" w:styleId="STARLABLabel">
    <w:name w:val="STARLAB Label"/>
    <w:basedOn w:val="Normal"/>
    <w:pPr>
      <w:keepNext/>
      <w:spacing w:before="80" w:after="20"/>
    </w:pPr>
    <w:rPr>
      <w:rFonts w:ascii="Arial" w:hAnsi="Arial" w:eastAsia="Arial" w:cs="Arial"/>
      <w:b/>
      <w:i w:val="0"/>
      <w:color w:val="111111"/>
      <w:sz w:val="20"/>
    </w:rPr>
  </w:style>
  <w:style w:type="paragraph" w:customStyle="1" w:styleId="STARLABDeckUse">
    <w:name w:val="STARLAB Deck Use"/>
    <w:basedOn w:val="Normal"/>
    <w:pPr>
      <w:keepLines/>
      <w:spacing w:before="40" w:after="140"/>
      <w:ind w:left="187" w:right="115"/>
    </w:pPr>
    <w:rPr>
      <w:rFonts w:ascii="Arial" w:hAnsi="Arial" w:eastAsia="Arial" w:cs="Arial"/>
      <w:b w:val="0"/>
      <w:i w:val="0"/>
      <w:color w:val="111111"/>
      <w:sz w:val="20"/>
    </w:rPr>
  </w:style>
  <w:style w:type="character" w:customStyle="1" w:styleId="Hyperlink">
    <w:name w:val="Hyperlink"/>
    <w:rPr>
      <w:rFonts w:ascii="Arial" w:hAnsi="Arial" w:eastAsia="Arial" w:cs="Arial"/>
      <w:b w:val="0"/>
      <w:i w:val="0"/>
      <w:color w:val="E31B23"/>
      <w:sz w:val="2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555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999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999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999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5555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5555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5555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9999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5555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5555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9999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99999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99999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555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555555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99999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99999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999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55555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99999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9999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99999"/>
      </w:pBdr>
      <w:spacing w:before="200" w:after="280"/>
      <w:ind w:left="936" w:right="936"/>
    </w:pPr>
    <w:rPr>
      <w:b/>
      <w:bCs/>
      <w:i/>
      <w:iCs/>
      <w:color w:val="99999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99999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999999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99999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31B23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31B23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F1118"/>
    </w:rPr>
    <w:tblPr>
      <w:tblStyleRowBandSize w:val="1"/>
      <w:tblStyleColBandSize w:val="1"/>
      <w:tblInd w:w="0" w:type="dxa"/>
      <w:tblBorders>
        <w:top w:val="single" w:sz="8" w:space="0" w:color="E31B23"/>
        <w:bottom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1B23"/>
          <w:left w:val="nil"/>
          <w:bottom w:val="single" w:sz="8" w:space="0" w:color="E31B2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1B23"/>
          <w:left w:val="nil"/>
          <w:bottom w:val="single" w:sz="8" w:space="0" w:color="E31B2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1B23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31B2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band1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6E6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6E6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  <w:insideH w:val="single" w:sz="8" w:space="0" w:color="E31B23"/>
        <w:insideV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1B23"/>
          <w:left w:val="single" w:sz="8" w:space="0" w:color="E31B23"/>
          <w:bottom w:val="single" w:sz="18" w:space="0" w:color="E31B23"/>
          <w:right w:val="single" w:sz="8" w:space="0" w:color="E31B23"/>
          <w:insideH w:val="nil"/>
          <w:insideV w:val="single" w:sz="8" w:space="0" w:color="E31B2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1B23"/>
          <w:left w:val="single" w:sz="8" w:space="0" w:color="E31B23"/>
          <w:bottom w:val="single" w:sz="8" w:space="0" w:color="E31B23"/>
          <w:right w:val="single" w:sz="8" w:space="0" w:color="E31B23"/>
          <w:insideH w:val="nil"/>
          <w:insideV w:val="single" w:sz="8" w:space="0" w:color="E31B2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band1Vert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  <w:shd w:val="clear" w:color="auto" w:fill="E6E6E6"/>
      </w:tcPr>
    </w:tblStylePr>
    <w:tblStylePr w:type="band1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  <w:insideV w:val="single" w:sz="8" w:space="0" w:color="E31B23"/>
        </w:tcBorders>
        <w:shd w:val="clear" w:color="auto" w:fill="E6E6E6"/>
      </w:tcPr>
    </w:tblStylePr>
    <w:tblStylePr w:type="band2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  <w:insideV w:val="single" w:sz="8" w:space="0" w:color="E31B23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55555"/>
        <w:left w:val="single" w:sz="8" w:space="0" w:color="555555"/>
        <w:bottom w:val="single" w:sz="8" w:space="0" w:color="555555"/>
        <w:right w:val="single" w:sz="8" w:space="0" w:color="555555"/>
        <w:insideH w:val="single" w:sz="8" w:space="0" w:color="55555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E31B2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1B2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1B2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bottom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1B23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E31B23"/>
          <w:bottom w:val="single" w:sz="8" w:space="0" w:color="E31B2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1B23"/>
          <w:bottom w:val="single" w:sz="8" w:space="0" w:color="E31B23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31B2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1B2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31B2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55555"/>
        <w:left w:val="single" w:sz="8" w:space="0" w:color="555555"/>
        <w:bottom w:val="single" w:sz="8" w:space="0" w:color="555555"/>
        <w:right w:val="single" w:sz="8" w:space="0" w:color="555555"/>
        <w:insideH w:val="single" w:sz="8" w:space="0" w:color="555555"/>
        <w:insideV w:val="single" w:sz="8" w:space="0" w:color="55555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5555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999999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  <w:insideH w:val="single" w:sz="8" w:space="0" w:color="E31B23"/>
        <w:insideV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tcBorders>
          <w:insideH w:val="single" w:sz="6" w:space="0" w:color="E31B23"/>
          <w:insideV w:val="single" w:sz="6" w:space="0" w:color="E31B23"/>
        </w:tcBorders>
        <w:shd w:val="clear" w:color="auto" w:fill="999999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9999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99999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31B2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31B2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31B2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9999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99999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1B2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F111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1B2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1B23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E31B23"/>
        <w:bottom w:val="single" w:sz="4" w:space="0" w:color="E31B23"/>
        <w:right w:val="single" w:sz="4" w:space="0" w:color="E31B23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F11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F1118"/>
          <w:insideV w:val="nil"/>
        </w:tcBorders>
        <w:shd w:val="clear" w:color="auto" w:fill="9F11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99999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F11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F1118"/>
          <w:insideV w:val="nil"/>
        </w:tcBorders>
        <w:shd w:val="clear" w:color="auto" w:fill="9F11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55555"/>
      </w:tcPr>
    </w:tblStylePr>
    <w:tblStylePr w:type="lastRow">
      <w:rPr>
        <w:b/>
        <w:bCs/>
        <w:color w:val="55555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55555"/>
      </w:tcPr>
    </w:tblStylePr>
    <w:tblStylePr w:type="lastRow">
      <w:rPr>
        <w:b/>
        <w:bCs/>
        <w:color w:val="55555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E31B23"/>
      </w:tcPr>
    </w:tblStylePr>
    <w:tblStylePr w:type="lastRow">
      <w:rPr>
        <w:b/>
        <w:bCs/>
        <w:color w:val="E31B2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99999"/>
      </w:tcPr>
    </w:tblStylePr>
    <w:tblStylePr w:type="lastRow">
      <w:rPr>
        <w:b/>
        <w:bCs/>
        <w:color w:val="999999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9F1118"/>
      </w:tcPr>
    </w:tblStylePr>
    <w:tblStylePr w:type="lastCol">
      <w:rPr>
        <w:color w:val="FFFFFF"/>
      </w:rPr>
      <w:tblPr/>
      <w:tcPr>
        <w:shd w:val="clear" w:color="auto" w:fill="9F1118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E31B23"/>
      </w:tcPr>
    </w:tblStylePr>
    <w:tblStylePr w:type="lastCol">
      <w:rPr>
        <w:color w:val="FFFFFF"/>
      </w:rPr>
      <w:tblPr/>
      <w:tcPr>
        <w:shd w:val="clear" w:color="auto" w:fill="E31B23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555555"/>
      </a:dk2>
      <a:lt2>
        <a:srgbClr val="E6E6E6"/>
      </a:lt2>
      <a:accent1>
        <a:srgbClr val="999999"/>
      </a:accent1>
      <a:accent2>
        <a:srgbClr val="E31B23"/>
      </a:accent2>
      <a:accent3>
        <a:srgbClr val="999999"/>
      </a:accent3>
      <a:accent4>
        <a:srgbClr val="999999"/>
      </a:accent4>
      <a:accent5>
        <a:srgbClr val="999999"/>
      </a:accent5>
      <a:accent6>
        <a:srgbClr val="999999"/>
      </a:accent6>
      <a:hlink>
        <a:srgbClr val="555555"/>
      </a:hlink>
      <a:folHlink>
        <a:srgbClr val="55555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26: Conclusion and Full Report Assembly</dc:title>
  <dc:subject>STARLAB Unit 5 weekly teaching guide</dc:subject>
  <dc:creator>python-docx</dc:creator>
  <cp:keywords>STARLAB, Unit 5, Week 26, weekly teaching guide, teacher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