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31: Q&amp;A Preparation and Defense of Evidence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6 Teaching Guide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Teacher Overview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Week 31 prepares students for the most authentic part of scientific presentation: answering questions. Students should practice responding to questions about purpose, methods, data, limitations, and future work.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 goal is not for students to memorize perfect answers. The goal is for them to learn how to respond thoughtfully, honestly, and with evidence.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Weekly Objectives</w:t>
      </w:r>
    </w:p>
    <w:p>
      <w:pPr>
        <w:pStyle w:val="STARLABLabel"/>
        <w:keepNext/>
        <w:widowControl/>
        <w:spacing w:before="80" w:after="20" w:line="240" w:lineRule="auto"/>
      </w:pPr>
      <w:r>
        <w:rPr>
          <w:rFonts w:ascii="Arial" w:hAnsi="Arial" w:eastAsia="Arial" w:cs="Arial"/>
          <w:b/>
          <w:color w:val="111111"/>
        </w:rPr>
        <w:t>Students will be able to: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Predict likely audience questions.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Respond to questions using evidence from their project.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Acknowledge uncertainty and limitations appropriately.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Explain method choices and design decisions.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Practice professional Q&amp;A behavior.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Primary - Deck 18: Answering Questions Like a Scientist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Student Handout 7: Q&amp;A Preparation Guide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Student Handout 8: Mock Q&amp;A Reflection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Student Handout 9: Evidence Defense Organizer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Appendix F: Question Bank for Research Presentations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Appendix G: Answering Difficult Questions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Appendix H: Scientific Humility and Professional Language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/>
          <w:color w:val="111111"/>
        </w:rPr>
        <w:t>Optional / Teacher Scoring Reference - Appendix L: Oral Presentation Rubric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Suggested Weekly Flow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Day 1: What Questions Should You Expect?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Introduce categories of likely questions: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Why did you choose this topic?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How did you design your method?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What data did you collect?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What does your graph show?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How reliable are your results?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What were your limitations?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What would you do next?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How could this research be applied?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complete Student Handout 7.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Day 2: Evidence Defense Organizer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complete Student Handout 9.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They identify the evidence they can use to defend: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Their main claim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Their method choice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Their strongest result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Their limitations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Their future work recommendation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Day 3: Mock Q&amp;A Round 1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present a shortened version of their project and answer questions from peers.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Audience members should ask questions from different categories, not just surface-level questions.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complete Student Handout 8.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Day 4: Difficult Questions Practice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Teach students how to handle difficult questions.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Acceptable responses include: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“That is a limitation of my project.”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“I did not test that directly, but my data suggest...”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“I would need more data before making that conclusion.”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“Based on my method, I can say...”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“That would be a strong direction for future work.”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practice answering questions that challenge their methods, sample size, interpretation, or design choices.</w:t>
      </w:r>
    </w:p>
    <w:p>
      <w:pPr>
        <w:pStyle w:val="Heading3"/>
        <w:keepNext/>
        <w:widowControl/>
        <w:spacing w:before="140" w:after="40" w:line="240" w:lineRule="auto"/>
      </w:pPr>
      <w:r>
        <w:rPr>
          <w:rFonts w:ascii="Arial" w:hAnsi="Arial" w:eastAsia="Arial" w:cs="Arial"/>
          <w:b/>
          <w:color w:val="111111"/>
        </w:rPr>
        <w:t>Day 5: Mock Q&amp;A Round 2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repeat Q&amp;A practice after revising answers.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Teacher should listen for whether students: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Use evidence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Avoid overclaiming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Admit limitations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Stay professional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Ask for clarification when needed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Week 31 Deliverables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Q&amp;A preparation guide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Evidence defense organizer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Mock Q&amp;A reflection</w:t>
      </w:r>
    </w:p>
    <w:p>
      <w:pPr>
        <w:keepNext w:val="0"/>
        <w:widowControl/>
        <w:numPr>
          <w:ilvl w:val="0"/>
          <w:numId w:val="10"/>
        </w:numPr>
        <w:pStyle w:val="ListBullet"/>
        <w:spacing w:before="0" w:after="40" w:line="252" w:lineRule="auto"/>
      </w:pPr>
      <w:r>
        <w:rPr>
          <w:rFonts w:ascii="Arial" w:hAnsi="Arial" w:eastAsia="Arial" w:cs="Arial"/>
          <w:color w:val="111111"/>
        </w:rPr>
        <w:t>Revised answers to likely questions</w:t>
      </w:r>
    </w:p>
    <w:p>
      <w:pPr>
        <w:pStyle w:val="Heading2"/>
        <w:keepNext/>
        <w:widowControl/>
        <w:spacing w:before="220" w:after="80" w:line="240" w:lineRule="auto"/>
      </w:pPr>
      <w:r>
        <w:rPr>
          <w:rFonts w:ascii="Arial" w:hAnsi="Arial" w:eastAsia="Arial" w:cs="Arial"/>
          <w:b/>
          <w:color w:val="E31B23"/>
        </w:rPr>
        <w:t>Teacher Notes</w:t>
      </w:r>
    </w:p>
    <w:p>
      <w:pPr>
        <w:keepNext w:val="0"/>
        <w:widowControl/>
        <w:spacing w:before="0" w:after="80" w:line="252" w:lineRule="auto"/>
      </w:pPr>
      <w:r>
        <w:rPr>
          <w:rFonts w:ascii="Arial" w:hAnsi="Arial" w:eastAsia="Arial" w:cs="Arial"/>
          <w:color w:val="111111"/>
        </w:rPr>
        <w:t>Students often think “I don’t know” is a failure. Teach them that the stronger scientific response is often: “I do not know yet, but here is what my evidence does show.”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864" w:left="1080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6 | WEEK 31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E31B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E31B2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outlineLvl w:val="2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999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5555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9999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999999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 w:eastAsia="Arial" w:cs="Arial"/>
      <w:b/>
      <w:i w:val="0"/>
      <w:color w:val="11111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Arial" w:hAnsi="Arial" w:eastAsia="Arial" w:cs="Arial"/>
      <w:b/>
      <w:i w:val="0"/>
      <w:iCs/>
      <w:color w:val="555555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52" w:lineRule="auto"/>
      <w:contextualSpacing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52" w:lineRule="auto"/>
      <w:contextualSpacing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999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5555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999999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99999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999999"/>
      </w:pBdr>
      <w:spacing w:before="200" w:after="280"/>
      <w:ind w:left="936" w:right="936"/>
    </w:pPr>
    <w:rPr>
      <w:b/>
      <w:bCs/>
      <w:i/>
      <w:iCs/>
      <w:color w:val="99999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999999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999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999999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31B23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31B23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F1118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1B23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6E6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6E6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1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  <w:shd w:val="clear" w:color="auto" w:fill="E6E6E6"/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  <w:shd w:val="clear" w:color="auto" w:fill="E6E6E6"/>
      </w:tcPr>
    </w:tblStylePr>
    <w:tblStylePr w:type="band2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1B23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31B2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1B2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31B2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  <w:insideV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5555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E31B23"/>
          <w:insideV w:val="single" w:sz="6" w:space="0" w:color="E31B23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1B2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F111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1B2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E31B23"/>
        <w:bottom w:val="single" w:sz="4" w:space="0" w:color="E31B23"/>
        <w:right w:val="single" w:sz="4" w:space="0" w:color="E31B23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E31B23"/>
      </w:tcPr>
    </w:tblStylePr>
    <w:tblStylePr w:type="lastRow">
      <w:rPr>
        <w:b/>
        <w:bCs/>
        <w:color w:val="E31B2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99999"/>
      </w:tcPr>
    </w:tblStylePr>
    <w:tblStylePr w:type="lastRow">
      <w:rPr>
        <w:b/>
        <w:bCs/>
        <w:color w:val="999999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9F1118"/>
      </w:tcPr>
    </w:tblStylePr>
    <w:tblStylePr w:type="lastCol">
      <w:rPr>
        <w:color w:val="FFFFFF"/>
      </w:rPr>
      <w:tblPr/>
      <w:tcPr>
        <w:shd w:val="clear" w:color="auto" w:fill="9F1118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E31B23"/>
      </w:tcPr>
    </w:tblStylePr>
    <w:tblStylePr w:type="lastCol">
      <w:rPr>
        <w:color w:val="FFFFFF"/>
      </w:rPr>
      <w:tblPr/>
      <w:tcPr>
        <w:shd w:val="clear" w:color="auto" w:fill="E31B23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99999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99999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555555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555555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99999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55555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999999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999999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999999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555555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999999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9999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55555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999999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555555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99999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999999"/>
      </w:pBdr>
      <w:spacing w:before="200" w:after="280"/>
      <w:ind w:left="936" w:right="936"/>
    </w:pPr>
    <w:rPr>
      <w:b/>
      <w:bCs/>
      <w:i/>
      <w:iCs/>
      <w:color w:val="99999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999999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999999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999999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31B23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31B23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F1118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1B23"/>
          <w:left w:val="nil"/>
          <w:bottom w:val="single" w:sz="8" w:space="0" w:color="E31B2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55555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1B23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9999"/>
          <w:left w:val="nil"/>
          <w:bottom w:val="single" w:sz="8" w:space="0" w:color="99999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E6E6E6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E6E6E6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1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1B23"/>
          <w:left w:val="single" w:sz="8" w:space="0" w:color="E31B23"/>
          <w:bottom w:val="single" w:sz="8" w:space="0" w:color="E31B23"/>
          <w:right w:val="single" w:sz="8" w:space="0" w:color="E31B23"/>
          <w:insideH w:val="nil"/>
          <w:insideV w:val="single" w:sz="8" w:space="0" w:color="E31B2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</w:tcPr>
    </w:tblStylePr>
    <w:tblStylePr w:type="band1Vert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</w:tcBorders>
        <w:shd w:val="clear" w:color="auto" w:fill="E6E6E6"/>
      </w:tcPr>
    </w:tblStylePr>
    <w:tblStylePr w:type="band1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  <w:shd w:val="clear" w:color="auto" w:fill="E6E6E6"/>
      </w:tcPr>
    </w:tblStylePr>
    <w:tblStylePr w:type="band2Horz">
      <w:tblPr/>
      <w:tcPr>
        <w:tcBorders>
          <w:top w:val="single" w:sz="8" w:space="0" w:color="E31B23"/>
          <w:left w:val="single" w:sz="8" w:space="0" w:color="E31B23"/>
          <w:bottom w:val="single" w:sz="8" w:space="0" w:color="E31B23"/>
          <w:right w:val="single" w:sz="8" w:space="0" w:color="E31B23"/>
          <w:insideV w:val="single" w:sz="8" w:space="0" w:color="E31B23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1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single" w:sz="8" w:space="0" w:color="999999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</w:tcPr>
    </w:tblStylePr>
    <w:tblStylePr w:type="band1Vert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</w:tcBorders>
        <w:shd w:val="clear" w:color="auto" w:fill="E6E6E6"/>
      </w:tcPr>
    </w:tblStylePr>
    <w:tblStylePr w:type="band1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  <w:shd w:val="clear" w:color="auto" w:fill="E6E6E6"/>
      </w:tcPr>
    </w:tblStylePr>
    <w:tblStylePr w:type="band2Horz"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V w:val="single" w:sz="8" w:space="0" w:color="999999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55555"/>
          <w:left w:val="single" w:sz="8" w:space="0" w:color="555555"/>
          <w:bottom w:val="single" w:sz="8" w:space="0" w:color="555555"/>
          <w:right w:val="single" w:sz="8" w:space="0" w:color="55555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6E6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bottom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1B23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1B23"/>
          <w:bottom w:val="single" w:sz="8" w:space="0" w:color="E31B23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bottom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9999"/>
        </w:tcBorders>
      </w:tcPr>
    </w:tblStylePr>
    <w:tblStylePr w:type="lastRow">
      <w:rPr>
        <w:b/>
        <w:bCs/>
        <w:color w:val="555555"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9999"/>
          <w:bottom w:val="single" w:sz="8" w:space="0" w:color="999999"/>
        </w:tcBorders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31B2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1B2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31B2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9999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999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9999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555555"/>
        <w:left w:val="single" w:sz="8" w:space="0" w:color="555555"/>
        <w:bottom w:val="single" w:sz="8" w:space="0" w:color="555555"/>
        <w:right w:val="single" w:sz="8" w:space="0" w:color="555555"/>
        <w:insideH w:val="single" w:sz="8" w:space="0" w:color="555555"/>
        <w:insideV w:val="single" w:sz="8" w:space="0" w:color="55555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5555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999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E31B23"/>
        <w:left w:val="single" w:sz="8" w:space="0" w:color="E31B23"/>
        <w:bottom w:val="single" w:sz="8" w:space="0" w:color="E31B23"/>
        <w:right w:val="single" w:sz="8" w:space="0" w:color="E31B23"/>
        <w:insideH w:val="single" w:sz="8" w:space="0" w:color="E31B23"/>
        <w:insideV w:val="single" w:sz="8" w:space="0" w:color="E31B2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tcBorders>
          <w:insideH w:val="single" w:sz="6" w:space="0" w:color="E31B23"/>
          <w:insideV w:val="single" w:sz="6" w:space="0" w:color="E31B23"/>
        </w:tcBorders>
        <w:shd w:val="clear" w:color="auto" w:fill="999999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99999"/>
        <w:left w:val="single" w:sz="8" w:space="0" w:color="999999"/>
        <w:bottom w:val="single" w:sz="8" w:space="0" w:color="999999"/>
        <w:right w:val="single" w:sz="8" w:space="0" w:color="999999"/>
        <w:insideH w:val="single" w:sz="8" w:space="0" w:color="999999"/>
        <w:insideV w:val="single" w:sz="8" w:space="0" w:color="99999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000000"/>
      </w:rPr>
      <w:tblPr/>
      <w:tcPr>
        <w:shd w:val="clear" w:color="auto" w:fill="F2F2F2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tcBorders>
          <w:insideH w:val="single" w:sz="6" w:space="0" w:color="999999"/>
          <w:insideV w:val="single" w:sz="6" w:space="0" w:color="999999"/>
        </w:tcBorders>
        <w:shd w:val="clear" w:color="auto" w:fill="E6E6E6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E31B2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31B2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999999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999999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9999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9999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9999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E6E6E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E6E6E6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1B2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F111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5555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1B2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1B23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E31B23"/>
        <w:left w:val="single" w:sz="4" w:space="0" w:color="E31B23"/>
        <w:bottom w:val="single" w:sz="4" w:space="0" w:color="E31B23"/>
        <w:right w:val="single" w:sz="4" w:space="0" w:color="E31B23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31B2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999999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55555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55555"/>
          <w:insideV w:val="nil"/>
        </w:tcBorders>
        <w:shd w:val="clear" w:color="auto" w:fill="555555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999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F111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9F1118"/>
          <w:insideV w:val="nil"/>
        </w:tcBorders>
        <w:shd w:val="clear" w:color="auto" w:fill="9F111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118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F1118"/>
      </w:tcPr>
    </w:tblStylePr>
    <w:tblStylePr w:type="lastRow">
      <w:rPr>
        <w:b/>
        <w:bCs/>
        <w:color w:val="9F111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55555"/>
      </w:tcPr>
    </w:tblStylePr>
    <w:tblStylePr w:type="lastRow">
      <w:rPr>
        <w:b/>
        <w:bCs/>
        <w:color w:val="55555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E31B23"/>
      </w:tcPr>
    </w:tblStylePr>
    <w:tblStylePr w:type="lastRow">
      <w:rPr>
        <w:b/>
        <w:bCs/>
        <w:color w:val="E31B2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F2F2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99999"/>
      </w:tcPr>
    </w:tblStylePr>
    <w:tblStylePr w:type="lastRow">
      <w:rPr>
        <w:b/>
        <w:bCs/>
        <w:color w:val="999999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9F1118"/>
      </w:tcPr>
    </w:tblStylePr>
    <w:tblStylePr w:type="lastCol">
      <w:rPr>
        <w:color w:val="FFFFFF"/>
      </w:rPr>
      <w:tblPr/>
      <w:tcPr>
        <w:shd w:val="clear" w:color="auto" w:fill="9F1118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555555"/>
      </w:tcPr>
    </w:tblStylePr>
    <w:tblStylePr w:type="lastCol">
      <w:rPr>
        <w:color w:val="FFFFFF"/>
      </w:rPr>
      <w:tblPr/>
      <w:tcPr>
        <w:shd w:val="clear" w:color="auto" w:fill="555555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shd w:val="clear" w:color="auto" w:fill="E6E6E6"/>
      </w:tcPr>
    </w:tblStylePr>
    <w:tblStylePr w:type="firstCol">
      <w:rPr>
        <w:color w:val="FFFFFF"/>
      </w:rPr>
      <w:tblPr/>
      <w:tcPr>
        <w:shd w:val="clear" w:color="auto" w:fill="E31B23"/>
      </w:tcPr>
    </w:tblStylePr>
    <w:tblStylePr w:type="lastCol">
      <w:rPr>
        <w:color w:val="FFFFFF"/>
      </w:rPr>
      <w:tblPr/>
      <w:tcPr>
        <w:shd w:val="clear" w:color="auto" w:fill="E31B23"/>
      </w:tc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31: Q&amp;A Preparation and Defense of Evidence</dc:title>
  <dc:subject>STARLAB Unit 6 weekly teaching guide</dc:subject>
  <dc:creator>python-docx</dc:creator>
  <cp:keywords>STARLAB, Unit 6, Week 31, weekly teaching guide, teacher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