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Brand"/>
        <w:keepNext/>
        <w:widowControl/>
        <w:spacing w:before="0" w:after="40" w:line="240" w:lineRule="auto"/>
      </w:pPr>
      <w:r>
        <w:rPr>
          <w:rFonts w:ascii="Arial" w:hAnsi="Arial"/>
          <w:b/>
          <w:color w:val="E31B23"/>
        </w:rPr>
        <w:t>STARLAB</w:t>
      </w:r>
    </w:p>
    <w:p>
      <w:pPr>
        <w:pStyle w:val="STARLABWeekTitle"/>
        <w:keepNext/>
        <w:widowControl/>
        <w:spacing w:before="0" w:after="80" w:line="240" w:lineRule="auto"/>
      </w:pPr>
      <w:r>
        <w:rPr>
          <w:rFonts w:ascii="Arial" w:hAnsi="Arial"/>
          <w:b/>
          <w:color w:val="111111"/>
        </w:rPr>
        <w:t>Week 33: Public Presentation, Showcase, or Final Defense</w:t>
      </w:r>
    </w:p>
    <w:p>
      <w:pPr>
        <w:pStyle w:val="STARLABGuideSubtitle"/>
        <w:keepNext/>
        <w:widowControl/>
        <w:pBdr>
          <w:bottom w:val="single" w:sz="14" w:space="5" w:color="E31B23"/>
        </w:pBdr>
        <w:spacing w:before="0" w:after="260" w:line="240" w:lineRule="auto"/>
      </w:pPr>
      <w:r>
        <w:rPr>
          <w:rFonts w:ascii="Arial" w:hAnsi="Arial"/>
          <w:color w:val="555555"/>
        </w:rPr>
        <w:t>STARLAB Unit 6 Teaching Guide</w:t>
      </w:r>
    </w:p>
    <w:p>
      <w:pPr>
        <w:pStyle w:val="Heading2"/>
        <w:keepNext/>
        <w:widowControl/>
        <w:spacing w:before="220" w:after="80" w:line="240" w:lineRule="auto"/>
      </w:pPr>
      <w:r>
        <w:rPr>
          <w:rFonts w:ascii="Arial" w:hAnsi="Arial" w:eastAsia="Arial" w:cs="Arial"/>
          <w:b/>
          <w:color w:val="E31B23"/>
        </w:rPr>
        <w:t>Teacher Overview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Week 33 is the required public presentation week. The setting may be a STARLAB showcase, university poster session, public science fair, district research night, superintendent or administrator presentation, community event, mentor panel, or public final defense with invited audience members beyond the class. A classroom-only presentation does not satisfy the course requirement.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The teacher’s role during the event is to facilitate, assess, support professionalism, and help students capture feedback.</w:t>
      </w:r>
    </w:p>
    <w:p>
      <w:pPr>
        <w:pStyle w:val="Heading2"/>
        <w:keepNext/>
        <w:widowControl/>
        <w:spacing w:before="220" w:after="80" w:line="240" w:lineRule="auto"/>
      </w:pPr>
      <w:r>
        <w:rPr>
          <w:rFonts w:ascii="Arial" w:hAnsi="Arial" w:eastAsia="Arial" w:cs="Arial"/>
          <w:b/>
          <w:color w:val="E31B23"/>
        </w:rPr>
        <w:t>Weekly Objectives</w:t>
      </w:r>
    </w:p>
    <w:p>
      <w:pPr>
        <w:pStyle w:val="STARLABLabel"/>
        <w:keepNext/>
        <w:widowControl/>
        <w:spacing w:before="80" w:after="20" w:line="240" w:lineRule="auto"/>
      </w:pPr>
      <w:r>
        <w:rPr>
          <w:rFonts w:ascii="Arial" w:hAnsi="Arial" w:eastAsia="Arial" w:cs="Arial"/>
          <w:b/>
          <w:color w:val="111111"/>
        </w:rPr>
        <w:t>Students will be able to: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 w:eastAsia="Arial" w:cs="Arial"/>
          <w:color w:val="111111"/>
        </w:rPr>
        <w:t>Present research professionally to an audience.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 w:eastAsia="Arial" w:cs="Arial"/>
          <w:color w:val="111111"/>
        </w:rPr>
        <w:t>Use visual aids effectively.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 w:eastAsia="Arial" w:cs="Arial"/>
          <w:color w:val="111111"/>
        </w:rPr>
        <w:t>Respond to audience questions.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 w:eastAsia="Arial" w:cs="Arial"/>
          <w:color w:val="111111"/>
        </w:rPr>
        <w:t>Collect feedback from audience members.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 w:eastAsia="Arial" w:cs="Arial"/>
          <w:color w:val="111111"/>
        </w:rPr>
        <w:t>Reflect on presentation strengths and areas for improvement.</w:t>
      </w:r>
    </w:p>
    <w:p>
      <w:pPr>
        <w:pStyle w:val="Heading2"/>
        <w:keepNext/>
        <w:widowControl/>
        <w:spacing w:before="220" w:after="80" w:line="240" w:lineRule="auto"/>
      </w:pPr>
      <w:r>
        <w:rPr>
          <w:rFonts w:ascii="Arial" w:hAnsi="Arial" w:eastAsia="Arial" w:cs="Arial"/>
          <w:b/>
          <w:color w:val="E31B23"/>
        </w:rPr>
        <w:t>Teacher Materials</w:t>
      </w:r>
    </w:p>
    <w:p>
      <w:pPr>
        <w:pStyle w:val="STARLABDeckUse"/>
        <w:shd w:val="clear" w:color="auto" w:fill="F2F2F2"/>
        <w:keepNext w:val="0"/>
        <w:widowControl/>
        <w:pBdr>
          <w:left w:val="single" w:sz="18" w:space="6" w:color="E31B23"/>
        </w:pBdr>
        <w:spacing w:before="40" w:after="140" w:line="252" w:lineRule="auto"/>
      </w:pPr>
      <w:r>
        <w:rPr>
          <w:rFonts w:ascii="Arial" w:hAnsi="Arial"/>
          <w:color w:val="111111"/>
        </w:rPr>
        <w:t>Deck Use: No New Deck - required public presentation or showcase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 w:eastAsia="Arial" w:cs="Arial"/>
          <w:color w:val="111111"/>
        </w:rPr>
        <w:t>Student Handout 13: Audience Feedback Collection Form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 w:eastAsia="Arial" w:cs="Arial"/>
          <w:color w:val="111111"/>
        </w:rPr>
        <w:t>Student Handout 14: Post-Presentation Reflection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 w:eastAsia="Arial" w:cs="Arial"/>
          <w:color w:val="111111"/>
        </w:rPr>
        <w:t>Appendix L: Oral Presentation Rubric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 w:eastAsia="Arial" w:cs="Arial"/>
          <w:color w:val="111111"/>
        </w:rPr>
        <w:t>Appendix M: Showcase Rubric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/>
          <w:color w:val="111111"/>
        </w:rPr>
        <w:t>Optional / Teacher Reference - Appendix N: Teacher Event Facilitation Checklist</w:t>
      </w:r>
    </w:p>
    <w:p>
      <w:pPr>
        <w:pStyle w:val="Heading2"/>
        <w:keepNext/>
        <w:widowControl/>
        <w:spacing w:before="220" w:after="80" w:line="240" w:lineRule="auto"/>
      </w:pPr>
      <w:r>
        <w:rPr>
          <w:rFonts w:ascii="Arial" w:hAnsi="Arial" w:eastAsia="Arial" w:cs="Arial"/>
          <w:b/>
          <w:color w:val="E31B23"/>
        </w:rPr>
        <w:t>Suggested Weekly Flow</w:t>
      </w:r>
    </w:p>
    <w:p>
      <w:pPr>
        <w:pStyle w:val="Heading3"/>
        <w:keepNext/>
        <w:widowControl/>
        <w:spacing w:before="140" w:after="40" w:line="240" w:lineRule="auto"/>
      </w:pPr>
      <w:r>
        <w:rPr>
          <w:rFonts w:ascii="Arial" w:hAnsi="Arial" w:eastAsia="Arial" w:cs="Arial"/>
          <w:b/>
          <w:color w:val="111111"/>
        </w:rPr>
        <w:t>Before the Event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Students should: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Set up materials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Test technology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Review speaking notes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Prepare water if allowed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Confirm where they should stand or present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Keep research journal or report available if useful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Teacher should: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Confirm schedule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Welcome visitors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Explain audience expectations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Provide feedback forms or rubrics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Assign presentation order or station locations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Monitor timing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Take notes for assessment</w:t>
      </w:r>
    </w:p>
    <w:p>
      <w:pPr>
        <w:pStyle w:val="Heading3"/>
        <w:keepNext/>
        <w:widowControl/>
        <w:spacing w:before="140" w:after="40" w:line="240" w:lineRule="auto"/>
      </w:pPr>
      <w:r>
        <w:rPr>
          <w:rFonts w:ascii="Arial" w:hAnsi="Arial" w:eastAsia="Arial" w:cs="Arial"/>
          <w:b/>
          <w:color w:val="111111"/>
        </w:rPr>
        <w:t>During the Event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Students present their work and answer questions.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For poster or showcase format, students may give shorter repeated explanations. For formal presentations, students may present once and answer questions at the end.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Students should record or collect audience feedback using Student Handout 13.</w:t>
      </w:r>
    </w:p>
    <w:p>
      <w:pPr>
        <w:pStyle w:val="Heading3"/>
        <w:keepNext/>
        <w:widowControl/>
        <w:spacing w:before="140" w:after="40" w:line="240" w:lineRule="auto"/>
      </w:pPr>
      <w:r>
        <w:rPr>
          <w:rFonts w:ascii="Arial" w:hAnsi="Arial" w:eastAsia="Arial" w:cs="Arial"/>
          <w:b/>
          <w:color w:val="111111"/>
        </w:rPr>
        <w:t>After the Event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Students complete Student Handout 14.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Reflection should occur as soon as possible after the presentation while the experience is fresh.</w:t>
      </w:r>
    </w:p>
    <w:p>
      <w:pPr>
        <w:pStyle w:val="Heading2"/>
        <w:keepNext/>
        <w:widowControl/>
        <w:spacing w:before="220" w:after="80" w:line="240" w:lineRule="auto"/>
      </w:pPr>
      <w:r>
        <w:rPr>
          <w:rFonts w:ascii="Arial" w:hAnsi="Arial" w:eastAsia="Arial" w:cs="Arial"/>
          <w:b/>
          <w:color w:val="E31B23"/>
        </w:rPr>
        <w:t>Week 33 Deliverables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 w:eastAsia="Arial" w:cs="Arial"/>
          <w:color w:val="111111"/>
        </w:rPr>
        <w:t>Required public presentation or showcase participation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 w:eastAsia="Arial" w:cs="Arial"/>
          <w:color w:val="111111"/>
        </w:rPr>
        <w:t>Audience feedback collection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 w:eastAsia="Arial" w:cs="Arial"/>
          <w:color w:val="111111"/>
        </w:rPr>
        <w:t>Post-presentation reflection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 w:eastAsia="Arial" w:cs="Arial"/>
          <w:color w:val="111111"/>
        </w:rPr>
        <w:t>Teacher rubric or assessment</w:t>
      </w:r>
    </w:p>
    <w:p>
      <w:pPr>
        <w:pStyle w:val="Heading2"/>
        <w:keepNext/>
        <w:widowControl/>
        <w:spacing w:before="220" w:after="80" w:line="240" w:lineRule="auto"/>
      </w:pPr>
      <w:r>
        <w:rPr>
          <w:rFonts w:ascii="Arial" w:hAnsi="Arial" w:eastAsia="Arial" w:cs="Arial"/>
          <w:b/>
          <w:color w:val="E31B23"/>
        </w:rPr>
        <w:t>Teacher Notes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The public presentation should feel celebratory but still academically serious. Teachers should document the public audience and use Unit 6 Appendix L for the final summative oral presentation score and Unit 6 Appendix M for showcase scoring evidence within the Oral Presentation category. Students should understand that professional communication is part of the research process.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864" w:left="1080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55555"/>
        <w:sz w:val="17"/>
      </w:rPr>
      <w:t xml:space="preserve">STARLAB | UNIT 6 | WEEK 33 | PAGE </w:t>
    </w:r>
    <w:r>
      <w:rPr>
        <w:rFonts w:ascii="Arial" w:hAnsi="Arial"/>
        <w:color w:val="555555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540" w:hanging="180"/>
      </w:pPr>
      <w:rPr>
        <w:rFonts w:ascii="Arial" w:hAnsi="Arial" w:eastAsia="Arial" w:cs="Arial"/>
        <w:sz w:val="21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80" w:line="252" w:lineRule="auto"/>
    </w:pPr>
    <w:rPr>
      <w:rFonts w:ascii="Arial" w:hAnsi="Arial" w:eastAsia="Arial" w:cs="Arial"/>
      <w:b w:val="0"/>
      <w:i w:val="0"/>
      <w:color w:val="11111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 w:before="0"/>
    </w:pPr>
    <w:rPr>
      <w:rFonts w:ascii="Arial" w:hAnsi="Arial" w:eastAsia="Arial" w:cs="Arial"/>
      <w:b w:val="0"/>
      <w:i w:val="0"/>
      <w:color w:val="555555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 w:eastAsia="Arial" w:cs="Arial"/>
      <w:b/>
      <w:bCs/>
      <w:i w:val="0"/>
      <w:color w:val="E31B2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80"/>
      <w:outlineLvl w:val="1"/>
    </w:pPr>
    <w:rPr>
      <w:rFonts w:asciiTheme="majorHAnsi" w:eastAsiaTheme="majorEastAsia" w:hAnsiTheme="majorHAnsi" w:cstheme="majorBidi" w:ascii="Arial" w:hAnsi="Arial" w:eastAsia="Arial" w:cs="Arial"/>
      <w:b/>
      <w:bCs/>
      <w:i w:val="0"/>
      <w:color w:val="E31B23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40"/>
      <w:outlineLvl w:val="2"/>
    </w:pPr>
    <w:rPr>
      <w:rFonts w:asciiTheme="majorHAnsi" w:eastAsiaTheme="majorEastAsia" w:hAnsiTheme="majorHAnsi" w:cstheme="majorBidi" w:ascii="Arial" w:hAnsi="Arial" w:eastAsia="Arial" w:cs="Arial"/>
      <w:b/>
      <w:bCs/>
      <w:i w:val="0"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999999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555555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555555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555555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999999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555555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555555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999999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999999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 w:before="0"/>
      <w:contextualSpacing/>
    </w:pPr>
    <w:rPr>
      <w:rFonts w:asciiTheme="majorHAnsi" w:eastAsiaTheme="majorEastAsia" w:hAnsiTheme="majorHAnsi" w:cstheme="majorBidi" w:ascii="Arial" w:hAnsi="Arial" w:eastAsia="Arial" w:cs="Arial"/>
      <w:b/>
      <w:i w:val="0"/>
      <w:color w:val="111111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555555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/>
    </w:pPr>
    <w:rPr>
      <w:rFonts w:asciiTheme="majorHAnsi" w:eastAsiaTheme="majorEastAsia" w:hAnsiTheme="majorHAnsi" w:cstheme="majorBidi" w:ascii="Arial" w:hAnsi="Arial" w:eastAsia="Arial" w:cs="Arial"/>
      <w:b/>
      <w:i w:val="0"/>
      <w:iCs/>
      <w:color w:val="555555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999999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52" w:lineRule="auto"/>
      <w:contextualSpacing/>
    </w:pPr>
    <w:rPr>
      <w:rFonts w:ascii="Arial" w:hAnsi="Arial" w:eastAsia="Arial" w:cs="Arial"/>
      <w:b w:val="0"/>
      <w:i w:val="0"/>
      <w:color w:val="111111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52" w:lineRule="auto"/>
      <w:contextualSpacing/>
    </w:pPr>
    <w:rPr>
      <w:rFonts w:ascii="Arial" w:hAnsi="Arial" w:eastAsia="Arial" w:cs="Arial"/>
      <w:b w:val="0"/>
      <w:i w:val="0"/>
      <w:color w:val="111111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999999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555555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555555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555555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999999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555555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99999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999999"/>
      </w:pBdr>
      <w:spacing w:before="200" w:after="280"/>
      <w:ind w:left="936" w:right="936"/>
    </w:pPr>
    <w:rPr>
      <w:b/>
      <w:bCs/>
      <w:i/>
      <w:iCs/>
      <w:color w:val="999999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999999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999999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999999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E31B23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E31B23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555555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F1118"/>
    </w:rPr>
    <w:tblPr>
      <w:tblStyleRowBandSize w:val="1"/>
      <w:tblStyleColBandSize w:val="1"/>
      <w:tblInd w:w="0" w:type="dxa"/>
      <w:tblBorders>
        <w:top w:val="single" w:sz="8" w:space="0" w:color="E31B23"/>
        <w:bottom w:val="single" w:sz="8" w:space="0" w:color="E31B2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31B23"/>
          <w:left w:val="nil"/>
          <w:bottom w:val="single" w:sz="8" w:space="0" w:color="E31B2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31B23"/>
          <w:left w:val="nil"/>
          <w:bottom w:val="single" w:sz="8" w:space="0" w:color="E31B2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555555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55555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555555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1B23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E31B23"/>
        <w:left w:val="single" w:sz="8" w:space="0" w:color="E31B23"/>
        <w:bottom w:val="single" w:sz="8" w:space="0" w:color="E31B23"/>
        <w:right w:val="single" w:sz="8" w:space="0" w:color="E31B2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E31B2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31B23"/>
          <w:left w:val="single" w:sz="8" w:space="0" w:color="E31B23"/>
          <w:bottom w:val="single" w:sz="8" w:space="0" w:color="E31B23"/>
          <w:right w:val="single" w:sz="8" w:space="0" w:color="E31B2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31B23"/>
          <w:left w:val="single" w:sz="8" w:space="0" w:color="E31B23"/>
          <w:bottom w:val="single" w:sz="8" w:space="0" w:color="E31B23"/>
          <w:right w:val="single" w:sz="8" w:space="0" w:color="E31B23"/>
        </w:tcBorders>
      </w:tcPr>
    </w:tblStylePr>
    <w:tblStylePr w:type="band1Horz">
      <w:tblPr/>
      <w:tcPr>
        <w:tcBorders>
          <w:top w:val="single" w:sz="8" w:space="0" w:color="E31B23"/>
          <w:left w:val="single" w:sz="8" w:space="0" w:color="E31B23"/>
          <w:bottom w:val="single" w:sz="8" w:space="0" w:color="E31B23"/>
          <w:right w:val="single" w:sz="8" w:space="0" w:color="E31B23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E6E6E6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E6E6E6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1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  <w:shd w:val="clear" w:color="auto" w:fill="E6E6E6"/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  <w:shd w:val="clear" w:color="auto" w:fill="E6E6E6"/>
      </w:tcPr>
    </w:tblStylePr>
    <w:tblStylePr w:type="band2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E31B23"/>
        <w:left w:val="single" w:sz="8" w:space="0" w:color="E31B23"/>
        <w:bottom w:val="single" w:sz="8" w:space="0" w:color="E31B23"/>
        <w:right w:val="single" w:sz="8" w:space="0" w:color="E31B23"/>
        <w:insideH w:val="single" w:sz="8" w:space="0" w:color="E31B23"/>
        <w:insideV w:val="single" w:sz="8" w:space="0" w:color="E31B2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31B23"/>
          <w:left w:val="single" w:sz="8" w:space="0" w:color="E31B23"/>
          <w:bottom w:val="single" w:sz="18" w:space="0" w:color="E31B23"/>
          <w:right w:val="single" w:sz="8" w:space="0" w:color="E31B23"/>
          <w:insideH w:val="nil"/>
          <w:insideV w:val="single" w:sz="8" w:space="0" w:color="E31B2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31B23"/>
          <w:left w:val="single" w:sz="8" w:space="0" w:color="E31B23"/>
          <w:bottom w:val="single" w:sz="8" w:space="0" w:color="E31B23"/>
          <w:right w:val="single" w:sz="8" w:space="0" w:color="E31B23"/>
          <w:insideH w:val="nil"/>
          <w:insideV w:val="single" w:sz="8" w:space="0" w:color="E31B2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31B23"/>
          <w:left w:val="single" w:sz="8" w:space="0" w:color="E31B23"/>
          <w:bottom w:val="single" w:sz="8" w:space="0" w:color="E31B23"/>
          <w:right w:val="single" w:sz="8" w:space="0" w:color="E31B23"/>
        </w:tcBorders>
      </w:tcPr>
    </w:tblStylePr>
    <w:tblStylePr w:type="band1Vert">
      <w:tblPr/>
      <w:tcPr>
        <w:tcBorders>
          <w:top w:val="single" w:sz="8" w:space="0" w:color="E31B23"/>
          <w:left w:val="single" w:sz="8" w:space="0" w:color="E31B23"/>
          <w:bottom w:val="single" w:sz="8" w:space="0" w:color="E31B23"/>
          <w:right w:val="single" w:sz="8" w:space="0" w:color="E31B23"/>
        </w:tcBorders>
        <w:shd w:val="clear" w:color="auto" w:fill="E6E6E6"/>
      </w:tcPr>
    </w:tblStylePr>
    <w:tblStylePr w:type="band1Horz">
      <w:tblPr/>
      <w:tcPr>
        <w:tcBorders>
          <w:top w:val="single" w:sz="8" w:space="0" w:color="E31B23"/>
          <w:left w:val="single" w:sz="8" w:space="0" w:color="E31B23"/>
          <w:bottom w:val="single" w:sz="8" w:space="0" w:color="E31B23"/>
          <w:right w:val="single" w:sz="8" w:space="0" w:color="E31B23"/>
          <w:insideV w:val="single" w:sz="8" w:space="0" w:color="E31B23"/>
        </w:tcBorders>
        <w:shd w:val="clear" w:color="auto" w:fill="E6E6E6"/>
      </w:tcPr>
    </w:tblStylePr>
    <w:tblStylePr w:type="band2Horz">
      <w:tblPr/>
      <w:tcPr>
        <w:tcBorders>
          <w:top w:val="single" w:sz="8" w:space="0" w:color="E31B23"/>
          <w:left w:val="single" w:sz="8" w:space="0" w:color="E31B23"/>
          <w:bottom w:val="single" w:sz="8" w:space="0" w:color="E31B23"/>
          <w:right w:val="single" w:sz="8" w:space="0" w:color="E31B23"/>
          <w:insideV w:val="single" w:sz="8" w:space="0" w:color="E31B23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1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  <w:shd w:val="clear" w:color="auto" w:fill="E6E6E6"/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  <w:shd w:val="clear" w:color="auto" w:fill="E6E6E6"/>
      </w:tcPr>
    </w:tblStylePr>
    <w:tblStylePr w:type="band2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1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  <w:shd w:val="clear" w:color="auto" w:fill="E6E6E6"/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  <w:shd w:val="clear" w:color="auto" w:fill="E6E6E6"/>
      </w:tcPr>
    </w:tblStylePr>
    <w:tblStylePr w:type="band2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1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  <w:shd w:val="clear" w:color="auto" w:fill="E6E6E6"/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  <w:shd w:val="clear" w:color="auto" w:fill="E6E6E6"/>
      </w:tcPr>
    </w:tblStylePr>
    <w:tblStylePr w:type="band2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1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  <w:shd w:val="clear" w:color="auto" w:fill="E6E6E6"/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  <w:shd w:val="clear" w:color="auto" w:fill="E6E6E6"/>
      </w:tcPr>
    </w:tblStylePr>
    <w:tblStylePr w:type="band2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555555"/>
        <w:left w:val="single" w:sz="8" w:space="0" w:color="555555"/>
        <w:bottom w:val="single" w:sz="8" w:space="0" w:color="555555"/>
        <w:right w:val="single" w:sz="8" w:space="0" w:color="555555"/>
        <w:insideH w:val="single" w:sz="8" w:space="0" w:color="55555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  <w:shd w:val="clear" w:color="auto" w:fill="E31B2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31B2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31B2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31B2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99999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E31B23"/>
        <w:bottom w:val="single" w:sz="8" w:space="0" w:color="E31B2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31B23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E31B23"/>
          <w:bottom w:val="single" w:sz="8" w:space="0" w:color="E31B2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31B23"/>
          <w:bottom w:val="single" w:sz="8" w:space="0" w:color="E31B23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99999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99999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99999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99999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9999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9999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9999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E31B23"/>
        <w:left w:val="single" w:sz="8" w:space="0" w:color="E31B23"/>
        <w:bottom w:val="single" w:sz="8" w:space="0" w:color="E31B23"/>
        <w:right w:val="single" w:sz="8" w:space="0" w:color="E31B2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31B2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E31B2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31B2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E31B2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9999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9999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9999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9999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9999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9999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9999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9999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9999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9999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9999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9999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555555"/>
        <w:left w:val="single" w:sz="8" w:space="0" w:color="555555"/>
        <w:bottom w:val="single" w:sz="8" w:space="0" w:color="555555"/>
        <w:right w:val="single" w:sz="8" w:space="0" w:color="555555"/>
        <w:insideH w:val="single" w:sz="8" w:space="0" w:color="555555"/>
        <w:insideV w:val="single" w:sz="8" w:space="0" w:color="55555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5555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999999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F2F2F2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single" w:sz="6" w:space="0" w:color="999999"/>
          <w:insideV w:val="single" w:sz="6" w:space="0" w:color="999999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E31B23"/>
        <w:left w:val="single" w:sz="8" w:space="0" w:color="E31B23"/>
        <w:bottom w:val="single" w:sz="8" w:space="0" w:color="E31B23"/>
        <w:right w:val="single" w:sz="8" w:space="0" w:color="E31B23"/>
        <w:insideH w:val="single" w:sz="8" w:space="0" w:color="E31B23"/>
        <w:insideV w:val="single" w:sz="8" w:space="0" w:color="E31B2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F2F2F2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tcBorders>
          <w:insideH w:val="single" w:sz="6" w:space="0" w:color="E31B23"/>
          <w:insideV w:val="single" w:sz="6" w:space="0" w:color="E31B23"/>
        </w:tcBorders>
        <w:shd w:val="clear" w:color="auto" w:fill="999999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F2F2F2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single" w:sz="6" w:space="0" w:color="999999"/>
          <w:insideV w:val="single" w:sz="6" w:space="0" w:color="999999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F2F2F2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single" w:sz="6" w:space="0" w:color="999999"/>
          <w:insideV w:val="single" w:sz="6" w:space="0" w:color="999999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F2F2F2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single" w:sz="6" w:space="0" w:color="999999"/>
          <w:insideV w:val="single" w:sz="6" w:space="0" w:color="999999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F2F2F2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single" w:sz="6" w:space="0" w:color="999999"/>
          <w:insideV w:val="single" w:sz="6" w:space="0" w:color="999999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999999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999999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E6E6E6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E31B2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E31B2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E31B2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E31B23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999999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999999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E6E6E6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E6E6E6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E6E6E6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E6E6E6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55555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31B2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F111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F1118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F1118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111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1118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55555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55555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55555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F111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1B23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1B2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1B23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1B23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E31B23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31B2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E31B23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31B2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55555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55555"/>
          <w:insideV w:val="nil"/>
        </w:tcBorders>
        <w:shd w:val="clear" w:color="auto" w:fill="555555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E31B23"/>
        <w:left w:val="single" w:sz="4" w:space="0" w:color="E31B23"/>
        <w:bottom w:val="single" w:sz="4" w:space="0" w:color="E31B23"/>
        <w:right w:val="single" w:sz="4" w:space="0" w:color="E31B23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31B2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9F111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9F1118"/>
          <w:insideV w:val="nil"/>
        </w:tcBorders>
        <w:shd w:val="clear" w:color="auto" w:fill="9F111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1118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999999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55555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55555"/>
          <w:insideV w:val="nil"/>
        </w:tcBorders>
        <w:shd w:val="clear" w:color="auto" w:fill="555555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55555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55555"/>
          <w:insideV w:val="nil"/>
        </w:tcBorders>
        <w:shd w:val="clear" w:color="auto" w:fill="555555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55555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55555"/>
          <w:insideV w:val="nil"/>
        </w:tcBorders>
        <w:shd w:val="clear" w:color="auto" w:fill="555555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9F111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9F1118"/>
          <w:insideV w:val="nil"/>
        </w:tcBorders>
        <w:shd w:val="clear" w:color="auto" w:fill="9F111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1118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F1118"/>
      </w:tcPr>
    </w:tblStylePr>
    <w:tblStylePr w:type="lastRow">
      <w:rPr>
        <w:b/>
        <w:bCs/>
        <w:color w:val="9F111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F1118"/>
      </w:tcPr>
    </w:tblStylePr>
    <w:tblStylePr w:type="lastRow">
      <w:rPr>
        <w:b/>
        <w:bCs/>
        <w:color w:val="9F111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F1118"/>
      </w:tcPr>
    </w:tblStylePr>
    <w:tblStylePr w:type="lastRow">
      <w:rPr>
        <w:b/>
        <w:bCs/>
        <w:color w:val="9F111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555555"/>
      </w:tcPr>
    </w:tblStylePr>
    <w:tblStylePr w:type="lastRow">
      <w:rPr>
        <w:b/>
        <w:bCs/>
        <w:color w:val="55555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555555"/>
      </w:tcPr>
    </w:tblStylePr>
    <w:tblStylePr w:type="lastRow">
      <w:rPr>
        <w:b/>
        <w:bCs/>
        <w:color w:val="55555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E31B23"/>
      </w:tcPr>
    </w:tblStylePr>
    <w:tblStylePr w:type="lastRow">
      <w:rPr>
        <w:b/>
        <w:bCs/>
        <w:color w:val="E31B23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99999"/>
      </w:tcPr>
    </w:tblStylePr>
    <w:tblStylePr w:type="lastRow">
      <w:rPr>
        <w:b/>
        <w:bCs/>
        <w:color w:val="999999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shd w:val="clear" w:color="auto" w:fill="E6E6E6"/>
      </w:tcPr>
    </w:tblStylePr>
    <w:tblStylePr w:type="firstCol">
      <w:rPr>
        <w:color w:val="FFFFFF"/>
      </w:rPr>
      <w:tblPr/>
      <w:tcPr>
        <w:shd w:val="clear" w:color="auto" w:fill="555555"/>
      </w:tcPr>
    </w:tblStylePr>
    <w:tblStylePr w:type="lastCol">
      <w:rPr>
        <w:color w:val="FFFFFF"/>
      </w:rPr>
      <w:tblPr/>
      <w:tcPr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shd w:val="clear" w:color="auto" w:fill="E6E6E6"/>
      </w:tcPr>
    </w:tblStylePr>
    <w:tblStylePr w:type="firstCol">
      <w:rPr>
        <w:color w:val="FFFFFF"/>
      </w:rPr>
      <w:tblPr/>
      <w:tcPr>
        <w:shd w:val="clear" w:color="auto" w:fill="9F1118"/>
      </w:tcPr>
    </w:tblStylePr>
    <w:tblStylePr w:type="lastCol">
      <w:rPr>
        <w:color w:val="FFFFFF"/>
      </w:rPr>
      <w:tblPr/>
      <w:tcPr>
        <w:shd w:val="clear" w:color="auto" w:fill="9F1118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shd w:val="clear" w:color="auto" w:fill="E6E6E6"/>
      </w:tcPr>
    </w:tblStylePr>
    <w:tblStylePr w:type="firstCol">
      <w:rPr>
        <w:color w:val="FFFFFF"/>
      </w:rPr>
      <w:tblPr/>
      <w:tcPr>
        <w:shd w:val="clear" w:color="auto" w:fill="555555"/>
      </w:tcPr>
    </w:tblStylePr>
    <w:tblStylePr w:type="lastCol">
      <w:rPr>
        <w:color w:val="FFFFFF"/>
      </w:rPr>
      <w:tblPr/>
      <w:tcPr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shd w:val="clear" w:color="auto" w:fill="E6E6E6"/>
      </w:tcPr>
    </w:tblStylePr>
    <w:tblStylePr w:type="firstCol">
      <w:rPr>
        <w:color w:val="FFFFFF"/>
      </w:rPr>
      <w:tblPr/>
      <w:tcPr>
        <w:shd w:val="clear" w:color="auto" w:fill="555555"/>
      </w:tcPr>
    </w:tblStylePr>
    <w:tblStylePr w:type="lastCol">
      <w:rPr>
        <w:color w:val="FFFFFF"/>
      </w:rPr>
      <w:tblPr/>
      <w:tcPr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shd w:val="clear" w:color="auto" w:fill="E6E6E6"/>
      </w:tcPr>
    </w:tblStylePr>
    <w:tblStylePr w:type="firstCol">
      <w:rPr>
        <w:color w:val="FFFFFF"/>
      </w:rPr>
      <w:tblPr/>
      <w:tcPr>
        <w:shd w:val="clear" w:color="auto" w:fill="555555"/>
      </w:tcPr>
    </w:tblStylePr>
    <w:tblStylePr w:type="lastCol">
      <w:rPr>
        <w:color w:val="FFFFFF"/>
      </w:rPr>
      <w:tblPr/>
      <w:tcPr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shd w:val="clear" w:color="auto" w:fill="E6E6E6"/>
      </w:tcPr>
    </w:tblStylePr>
    <w:tblStylePr w:type="firstCol">
      <w:rPr>
        <w:color w:val="FFFFFF"/>
      </w:rPr>
      <w:tblPr/>
      <w:tcPr>
        <w:shd w:val="clear" w:color="auto" w:fill="E31B23"/>
      </w:tcPr>
    </w:tblStylePr>
    <w:tblStylePr w:type="lastCol">
      <w:rPr>
        <w:color w:val="FFFFFF"/>
      </w:rPr>
      <w:tblPr/>
      <w:tcPr>
        <w:shd w:val="clear" w:color="auto" w:fill="E31B23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paragraph" w:customStyle="1" w:styleId="STARLABBrand">
    <w:name w:val="STARLAB Brand"/>
    <w:basedOn w:val="Normal"/>
    <w:pPr>
      <w:keepNext/>
      <w:spacing w:before="0" w:after="40"/>
    </w:pPr>
    <w:rPr>
      <w:rFonts w:ascii="Arial" w:hAnsi="Arial" w:eastAsia="Arial" w:cs="Arial"/>
      <w:b/>
      <w:i w:val="0"/>
      <w:color w:val="E31B23"/>
      <w:sz w:val="21"/>
    </w:rPr>
  </w:style>
  <w:style w:type="paragraph" w:customStyle="1" w:styleId="STARLABWeekTitle">
    <w:name w:val="STARLAB Week Title"/>
    <w:basedOn w:val="Normal"/>
    <w:pPr>
      <w:keepNext/>
      <w:spacing w:before="0" w:after="80" w:line="240" w:lineRule="auto"/>
    </w:pPr>
    <w:rPr>
      <w:rFonts w:ascii="Arial" w:hAnsi="Arial" w:eastAsia="Arial" w:cs="Arial"/>
      <w:b/>
      <w:i w:val="0"/>
      <w:color w:val="111111"/>
      <w:sz w:val="48"/>
    </w:rPr>
  </w:style>
  <w:style w:type="paragraph" w:customStyle="1" w:styleId="STARLABGuideSubtitle">
    <w:name w:val="STARLAB Guide Subtitle"/>
    <w:basedOn w:val="Normal"/>
    <w:pPr>
      <w:keepNext/>
      <w:spacing w:before="0" w:after="260"/>
    </w:pPr>
    <w:rPr>
      <w:rFonts w:ascii="Arial" w:hAnsi="Arial" w:eastAsia="Arial" w:cs="Arial"/>
      <w:b/>
      <w:i w:val="0"/>
      <w:color w:val="555555"/>
      <w:sz w:val="21"/>
    </w:rPr>
  </w:style>
  <w:style w:type="paragraph" w:customStyle="1" w:styleId="STARLABLabel">
    <w:name w:val="STARLAB Label"/>
    <w:basedOn w:val="Normal"/>
    <w:pPr>
      <w:keepNext/>
      <w:spacing w:before="80" w:after="20"/>
    </w:pPr>
    <w:rPr>
      <w:rFonts w:ascii="Arial" w:hAnsi="Arial" w:eastAsia="Arial" w:cs="Arial"/>
      <w:b/>
      <w:i w:val="0"/>
      <w:color w:val="111111"/>
      <w:sz w:val="20"/>
    </w:rPr>
  </w:style>
  <w:style w:type="paragraph" w:customStyle="1" w:styleId="STARLABDeckUse">
    <w:name w:val="STARLAB Deck Use"/>
    <w:basedOn w:val="Normal"/>
    <w:pPr>
      <w:keepLines/>
      <w:spacing w:before="40" w:after="140"/>
      <w:ind w:left="187" w:right="115"/>
    </w:pPr>
    <w:rPr>
      <w:rFonts w:ascii="Arial" w:hAnsi="Arial" w:eastAsia="Arial" w:cs="Arial"/>
      <w:b w:val="0"/>
      <w:i w:val="0"/>
      <w:color w:val="111111"/>
      <w:sz w:val="20"/>
    </w:rPr>
  </w:style>
  <w:style w:type="character" w:customStyle="1" w:styleId="Hyperlink">
    <w:name w:val="Hyperlink"/>
    <w:rPr>
      <w:rFonts w:ascii="Arial" w:hAnsi="Arial" w:eastAsia="Arial" w:cs="Arial"/>
      <w:b w:val="0"/>
      <w:i w:val="0"/>
      <w:color w:val="E31B23"/>
      <w:sz w:val="20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55555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99999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99999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999999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555555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555555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555555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999999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555555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555555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999999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999999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999999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55555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555555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999999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999999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999999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555555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555555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555555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999999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555555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99999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999999"/>
      </w:pBdr>
      <w:spacing w:before="200" w:after="280"/>
      <w:ind w:left="936" w:right="936"/>
    </w:pPr>
    <w:rPr>
      <w:b/>
      <w:bCs/>
      <w:i/>
      <w:iCs/>
      <w:color w:val="999999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999999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999999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999999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E31B23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E31B23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555555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F1118"/>
    </w:rPr>
    <w:tblPr>
      <w:tblStyleRowBandSize w:val="1"/>
      <w:tblStyleColBandSize w:val="1"/>
      <w:tblInd w:w="0" w:type="dxa"/>
      <w:tblBorders>
        <w:top w:val="single" w:sz="8" w:space="0" w:color="E31B23"/>
        <w:bottom w:val="single" w:sz="8" w:space="0" w:color="E31B2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31B23"/>
          <w:left w:val="nil"/>
          <w:bottom w:val="single" w:sz="8" w:space="0" w:color="E31B2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31B23"/>
          <w:left w:val="nil"/>
          <w:bottom w:val="single" w:sz="8" w:space="0" w:color="E31B2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555555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55555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555555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1B23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E31B23"/>
        <w:left w:val="single" w:sz="8" w:space="0" w:color="E31B23"/>
        <w:bottom w:val="single" w:sz="8" w:space="0" w:color="E31B23"/>
        <w:right w:val="single" w:sz="8" w:space="0" w:color="E31B2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E31B2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31B23"/>
          <w:left w:val="single" w:sz="8" w:space="0" w:color="E31B23"/>
          <w:bottom w:val="single" w:sz="8" w:space="0" w:color="E31B23"/>
          <w:right w:val="single" w:sz="8" w:space="0" w:color="E31B2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31B23"/>
          <w:left w:val="single" w:sz="8" w:space="0" w:color="E31B23"/>
          <w:bottom w:val="single" w:sz="8" w:space="0" w:color="E31B23"/>
          <w:right w:val="single" w:sz="8" w:space="0" w:color="E31B23"/>
        </w:tcBorders>
      </w:tcPr>
    </w:tblStylePr>
    <w:tblStylePr w:type="band1Horz">
      <w:tblPr/>
      <w:tcPr>
        <w:tcBorders>
          <w:top w:val="single" w:sz="8" w:space="0" w:color="E31B23"/>
          <w:left w:val="single" w:sz="8" w:space="0" w:color="E31B23"/>
          <w:bottom w:val="single" w:sz="8" w:space="0" w:color="E31B23"/>
          <w:right w:val="single" w:sz="8" w:space="0" w:color="E31B23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E6E6E6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E6E6E6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1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  <w:shd w:val="clear" w:color="auto" w:fill="E6E6E6"/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  <w:shd w:val="clear" w:color="auto" w:fill="E6E6E6"/>
      </w:tcPr>
    </w:tblStylePr>
    <w:tblStylePr w:type="band2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E31B23"/>
        <w:left w:val="single" w:sz="8" w:space="0" w:color="E31B23"/>
        <w:bottom w:val="single" w:sz="8" w:space="0" w:color="E31B23"/>
        <w:right w:val="single" w:sz="8" w:space="0" w:color="E31B23"/>
        <w:insideH w:val="single" w:sz="8" w:space="0" w:color="E31B23"/>
        <w:insideV w:val="single" w:sz="8" w:space="0" w:color="E31B2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31B23"/>
          <w:left w:val="single" w:sz="8" w:space="0" w:color="E31B23"/>
          <w:bottom w:val="single" w:sz="18" w:space="0" w:color="E31B23"/>
          <w:right w:val="single" w:sz="8" w:space="0" w:color="E31B23"/>
          <w:insideH w:val="nil"/>
          <w:insideV w:val="single" w:sz="8" w:space="0" w:color="E31B2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31B23"/>
          <w:left w:val="single" w:sz="8" w:space="0" w:color="E31B23"/>
          <w:bottom w:val="single" w:sz="8" w:space="0" w:color="E31B23"/>
          <w:right w:val="single" w:sz="8" w:space="0" w:color="E31B23"/>
          <w:insideH w:val="nil"/>
          <w:insideV w:val="single" w:sz="8" w:space="0" w:color="E31B2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31B23"/>
          <w:left w:val="single" w:sz="8" w:space="0" w:color="E31B23"/>
          <w:bottom w:val="single" w:sz="8" w:space="0" w:color="E31B23"/>
          <w:right w:val="single" w:sz="8" w:space="0" w:color="E31B23"/>
        </w:tcBorders>
      </w:tcPr>
    </w:tblStylePr>
    <w:tblStylePr w:type="band1Vert">
      <w:tblPr/>
      <w:tcPr>
        <w:tcBorders>
          <w:top w:val="single" w:sz="8" w:space="0" w:color="E31B23"/>
          <w:left w:val="single" w:sz="8" w:space="0" w:color="E31B23"/>
          <w:bottom w:val="single" w:sz="8" w:space="0" w:color="E31B23"/>
          <w:right w:val="single" w:sz="8" w:space="0" w:color="E31B23"/>
        </w:tcBorders>
        <w:shd w:val="clear" w:color="auto" w:fill="E6E6E6"/>
      </w:tcPr>
    </w:tblStylePr>
    <w:tblStylePr w:type="band1Horz">
      <w:tblPr/>
      <w:tcPr>
        <w:tcBorders>
          <w:top w:val="single" w:sz="8" w:space="0" w:color="E31B23"/>
          <w:left w:val="single" w:sz="8" w:space="0" w:color="E31B23"/>
          <w:bottom w:val="single" w:sz="8" w:space="0" w:color="E31B23"/>
          <w:right w:val="single" w:sz="8" w:space="0" w:color="E31B23"/>
          <w:insideV w:val="single" w:sz="8" w:space="0" w:color="E31B23"/>
        </w:tcBorders>
        <w:shd w:val="clear" w:color="auto" w:fill="E6E6E6"/>
      </w:tcPr>
    </w:tblStylePr>
    <w:tblStylePr w:type="band2Horz">
      <w:tblPr/>
      <w:tcPr>
        <w:tcBorders>
          <w:top w:val="single" w:sz="8" w:space="0" w:color="E31B23"/>
          <w:left w:val="single" w:sz="8" w:space="0" w:color="E31B23"/>
          <w:bottom w:val="single" w:sz="8" w:space="0" w:color="E31B23"/>
          <w:right w:val="single" w:sz="8" w:space="0" w:color="E31B23"/>
          <w:insideV w:val="single" w:sz="8" w:space="0" w:color="E31B23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1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  <w:shd w:val="clear" w:color="auto" w:fill="E6E6E6"/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  <w:shd w:val="clear" w:color="auto" w:fill="E6E6E6"/>
      </w:tcPr>
    </w:tblStylePr>
    <w:tblStylePr w:type="band2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1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  <w:shd w:val="clear" w:color="auto" w:fill="E6E6E6"/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  <w:shd w:val="clear" w:color="auto" w:fill="E6E6E6"/>
      </w:tcPr>
    </w:tblStylePr>
    <w:tblStylePr w:type="band2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1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  <w:shd w:val="clear" w:color="auto" w:fill="E6E6E6"/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  <w:shd w:val="clear" w:color="auto" w:fill="E6E6E6"/>
      </w:tcPr>
    </w:tblStylePr>
    <w:tblStylePr w:type="band2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1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  <w:shd w:val="clear" w:color="auto" w:fill="E6E6E6"/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  <w:shd w:val="clear" w:color="auto" w:fill="E6E6E6"/>
      </w:tcPr>
    </w:tblStylePr>
    <w:tblStylePr w:type="band2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555555"/>
        <w:left w:val="single" w:sz="8" w:space="0" w:color="555555"/>
        <w:bottom w:val="single" w:sz="8" w:space="0" w:color="555555"/>
        <w:right w:val="single" w:sz="8" w:space="0" w:color="555555"/>
        <w:insideH w:val="single" w:sz="8" w:space="0" w:color="55555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  <w:shd w:val="clear" w:color="auto" w:fill="E31B2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31B2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31B2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31B2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99999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E31B23"/>
        <w:bottom w:val="single" w:sz="8" w:space="0" w:color="E31B2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31B23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E31B23"/>
          <w:bottom w:val="single" w:sz="8" w:space="0" w:color="E31B2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31B23"/>
          <w:bottom w:val="single" w:sz="8" w:space="0" w:color="E31B23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99999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99999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99999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99999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9999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9999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9999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E31B23"/>
        <w:left w:val="single" w:sz="8" w:space="0" w:color="E31B23"/>
        <w:bottom w:val="single" w:sz="8" w:space="0" w:color="E31B23"/>
        <w:right w:val="single" w:sz="8" w:space="0" w:color="E31B2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31B2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E31B2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31B2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E31B2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9999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9999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9999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9999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9999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9999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9999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9999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9999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9999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9999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9999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555555"/>
        <w:left w:val="single" w:sz="8" w:space="0" w:color="555555"/>
        <w:bottom w:val="single" w:sz="8" w:space="0" w:color="555555"/>
        <w:right w:val="single" w:sz="8" w:space="0" w:color="555555"/>
        <w:insideH w:val="single" w:sz="8" w:space="0" w:color="555555"/>
        <w:insideV w:val="single" w:sz="8" w:space="0" w:color="55555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5555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999999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F2F2F2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single" w:sz="6" w:space="0" w:color="999999"/>
          <w:insideV w:val="single" w:sz="6" w:space="0" w:color="999999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E31B23"/>
        <w:left w:val="single" w:sz="8" w:space="0" w:color="E31B23"/>
        <w:bottom w:val="single" w:sz="8" w:space="0" w:color="E31B23"/>
        <w:right w:val="single" w:sz="8" w:space="0" w:color="E31B23"/>
        <w:insideH w:val="single" w:sz="8" w:space="0" w:color="E31B23"/>
        <w:insideV w:val="single" w:sz="8" w:space="0" w:color="E31B2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F2F2F2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tcBorders>
          <w:insideH w:val="single" w:sz="6" w:space="0" w:color="E31B23"/>
          <w:insideV w:val="single" w:sz="6" w:space="0" w:color="E31B23"/>
        </w:tcBorders>
        <w:shd w:val="clear" w:color="auto" w:fill="999999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F2F2F2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single" w:sz="6" w:space="0" w:color="999999"/>
          <w:insideV w:val="single" w:sz="6" w:space="0" w:color="999999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F2F2F2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single" w:sz="6" w:space="0" w:color="999999"/>
          <w:insideV w:val="single" w:sz="6" w:space="0" w:color="999999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F2F2F2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single" w:sz="6" w:space="0" w:color="999999"/>
          <w:insideV w:val="single" w:sz="6" w:space="0" w:color="999999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F2F2F2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single" w:sz="6" w:space="0" w:color="999999"/>
          <w:insideV w:val="single" w:sz="6" w:space="0" w:color="999999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999999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999999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E6E6E6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E31B2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E31B2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E31B2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E31B23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999999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999999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E6E6E6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E6E6E6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E6E6E6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E6E6E6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55555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31B2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F111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F1118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F1118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111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1118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55555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55555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55555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F111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1B23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1B2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1B23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1B23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E31B23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31B2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E31B23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31B2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55555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55555"/>
          <w:insideV w:val="nil"/>
        </w:tcBorders>
        <w:shd w:val="clear" w:color="auto" w:fill="555555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E31B23"/>
        <w:left w:val="single" w:sz="4" w:space="0" w:color="E31B23"/>
        <w:bottom w:val="single" w:sz="4" w:space="0" w:color="E31B23"/>
        <w:right w:val="single" w:sz="4" w:space="0" w:color="E31B23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31B2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9F111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9F1118"/>
          <w:insideV w:val="nil"/>
        </w:tcBorders>
        <w:shd w:val="clear" w:color="auto" w:fill="9F111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1118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999999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55555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55555"/>
          <w:insideV w:val="nil"/>
        </w:tcBorders>
        <w:shd w:val="clear" w:color="auto" w:fill="555555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55555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55555"/>
          <w:insideV w:val="nil"/>
        </w:tcBorders>
        <w:shd w:val="clear" w:color="auto" w:fill="555555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55555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55555"/>
          <w:insideV w:val="nil"/>
        </w:tcBorders>
        <w:shd w:val="clear" w:color="auto" w:fill="555555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9F111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9F1118"/>
          <w:insideV w:val="nil"/>
        </w:tcBorders>
        <w:shd w:val="clear" w:color="auto" w:fill="9F111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1118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F1118"/>
      </w:tcPr>
    </w:tblStylePr>
    <w:tblStylePr w:type="lastRow">
      <w:rPr>
        <w:b/>
        <w:bCs/>
        <w:color w:val="9F111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F1118"/>
      </w:tcPr>
    </w:tblStylePr>
    <w:tblStylePr w:type="lastRow">
      <w:rPr>
        <w:b/>
        <w:bCs/>
        <w:color w:val="9F111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F1118"/>
      </w:tcPr>
    </w:tblStylePr>
    <w:tblStylePr w:type="lastRow">
      <w:rPr>
        <w:b/>
        <w:bCs/>
        <w:color w:val="9F111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555555"/>
      </w:tcPr>
    </w:tblStylePr>
    <w:tblStylePr w:type="lastRow">
      <w:rPr>
        <w:b/>
        <w:bCs/>
        <w:color w:val="55555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555555"/>
      </w:tcPr>
    </w:tblStylePr>
    <w:tblStylePr w:type="lastRow">
      <w:rPr>
        <w:b/>
        <w:bCs/>
        <w:color w:val="55555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E31B23"/>
      </w:tcPr>
    </w:tblStylePr>
    <w:tblStylePr w:type="lastRow">
      <w:rPr>
        <w:b/>
        <w:bCs/>
        <w:color w:val="E31B23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99999"/>
      </w:tcPr>
    </w:tblStylePr>
    <w:tblStylePr w:type="lastRow">
      <w:rPr>
        <w:b/>
        <w:bCs/>
        <w:color w:val="999999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shd w:val="clear" w:color="auto" w:fill="E6E6E6"/>
      </w:tcPr>
    </w:tblStylePr>
    <w:tblStylePr w:type="firstCol">
      <w:rPr>
        <w:color w:val="FFFFFF"/>
      </w:rPr>
      <w:tblPr/>
      <w:tcPr>
        <w:shd w:val="clear" w:color="auto" w:fill="555555"/>
      </w:tcPr>
    </w:tblStylePr>
    <w:tblStylePr w:type="lastCol">
      <w:rPr>
        <w:color w:val="FFFFFF"/>
      </w:rPr>
      <w:tblPr/>
      <w:tcPr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shd w:val="clear" w:color="auto" w:fill="E6E6E6"/>
      </w:tcPr>
    </w:tblStylePr>
    <w:tblStylePr w:type="firstCol">
      <w:rPr>
        <w:color w:val="FFFFFF"/>
      </w:rPr>
      <w:tblPr/>
      <w:tcPr>
        <w:shd w:val="clear" w:color="auto" w:fill="9F1118"/>
      </w:tcPr>
    </w:tblStylePr>
    <w:tblStylePr w:type="lastCol">
      <w:rPr>
        <w:color w:val="FFFFFF"/>
      </w:rPr>
      <w:tblPr/>
      <w:tcPr>
        <w:shd w:val="clear" w:color="auto" w:fill="9F1118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shd w:val="clear" w:color="auto" w:fill="E6E6E6"/>
      </w:tcPr>
    </w:tblStylePr>
    <w:tblStylePr w:type="firstCol">
      <w:rPr>
        <w:color w:val="FFFFFF"/>
      </w:rPr>
      <w:tblPr/>
      <w:tcPr>
        <w:shd w:val="clear" w:color="auto" w:fill="555555"/>
      </w:tcPr>
    </w:tblStylePr>
    <w:tblStylePr w:type="lastCol">
      <w:rPr>
        <w:color w:val="FFFFFF"/>
      </w:rPr>
      <w:tblPr/>
      <w:tcPr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shd w:val="clear" w:color="auto" w:fill="E6E6E6"/>
      </w:tcPr>
    </w:tblStylePr>
    <w:tblStylePr w:type="firstCol">
      <w:rPr>
        <w:color w:val="FFFFFF"/>
      </w:rPr>
      <w:tblPr/>
      <w:tcPr>
        <w:shd w:val="clear" w:color="auto" w:fill="555555"/>
      </w:tcPr>
    </w:tblStylePr>
    <w:tblStylePr w:type="lastCol">
      <w:rPr>
        <w:color w:val="FFFFFF"/>
      </w:rPr>
      <w:tblPr/>
      <w:tcPr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shd w:val="clear" w:color="auto" w:fill="E6E6E6"/>
      </w:tcPr>
    </w:tblStylePr>
    <w:tblStylePr w:type="firstCol">
      <w:rPr>
        <w:color w:val="FFFFFF"/>
      </w:rPr>
      <w:tblPr/>
      <w:tcPr>
        <w:shd w:val="clear" w:color="auto" w:fill="555555"/>
      </w:tcPr>
    </w:tblStylePr>
    <w:tblStylePr w:type="lastCol">
      <w:rPr>
        <w:color w:val="FFFFFF"/>
      </w:rPr>
      <w:tblPr/>
      <w:tcPr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shd w:val="clear" w:color="auto" w:fill="E6E6E6"/>
      </w:tcPr>
    </w:tblStylePr>
    <w:tblStylePr w:type="firstCol">
      <w:rPr>
        <w:color w:val="FFFFFF"/>
      </w:rPr>
      <w:tblPr/>
      <w:tcPr>
        <w:shd w:val="clear" w:color="auto" w:fill="E31B23"/>
      </w:tcPr>
    </w:tblStylePr>
    <w:tblStylePr w:type="lastCol">
      <w:rPr>
        <w:color w:val="FFFFFF"/>
      </w:rPr>
      <w:tblPr/>
      <w:tcPr>
        <w:shd w:val="clear" w:color="auto" w:fill="E31B23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555555"/>
      </a:dk2>
      <a:lt2>
        <a:srgbClr val="E6E6E6"/>
      </a:lt2>
      <a:accent1>
        <a:srgbClr val="999999"/>
      </a:accent1>
      <a:accent2>
        <a:srgbClr val="E31B23"/>
      </a:accent2>
      <a:accent3>
        <a:srgbClr val="999999"/>
      </a:accent3>
      <a:accent4>
        <a:srgbClr val="999999"/>
      </a:accent4>
      <a:accent5>
        <a:srgbClr val="999999"/>
      </a:accent5>
      <a:accent6>
        <a:srgbClr val="999999"/>
      </a:accent6>
      <a:hlink>
        <a:srgbClr val="555555"/>
      </a:hlink>
      <a:folHlink>
        <a:srgbClr val="555555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33: Public Presentation, Showcase, or Final Defense</dc:title>
  <dc:subject>STARLAB Unit 6 weekly teaching guide</dc:subject>
  <dc:creator>STARLAB</dc:creator>
  <cp:keywords>STARLAB, Unit 6, Week 33, weekly teaching guide, teacher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STARLAB Curriculum</cp:category>
</cp:coreProperties>
</file>