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ED1C24"/>
          <w:sz w:val="20"/>
        </w:rPr>
        <w:t>STARLAB</w:t>
      </w:r>
    </w:p>
    <w:p>
      <w:pPr>
        <w:spacing w:after="20"/>
      </w:pPr>
      <w:r>
        <w:rPr>
          <w:rFonts w:ascii="Arial" w:hAnsi="Arial"/>
          <w:b/>
          <w:color w:val="111111"/>
          <w:sz w:val="36"/>
        </w:rPr>
        <w:t>Week 34: Final Reflection, Portfolio, and Next Steps</w:t>
      </w:r>
    </w:p>
    <w:p>
      <w:pPr>
        <w:spacing w:after="160"/>
      </w:pPr>
      <w:r>
        <w:rPr>
          <w:rFonts w:ascii="Arial" w:hAnsi="Arial"/>
          <w:color w:val="555555"/>
          <w:sz w:val="20"/>
        </w:rPr>
        <w:t>STARLAB Unit 6 Teaching Guide</w:t>
      </w:r>
    </w:p>
    <w:p>
      <w:pPr>
        <w:pStyle w:val="Heading2"/>
      </w:pPr>
      <w:r>
        <w:t>Teacher Overview</w:t>
      </w:r>
    </w:p>
    <w:p>
      <w:r>
        <w:t>Week 34 closes the STARLAB year by turning the research process into evidence of student growth. Students reconstruct how their projects changed, curate a portfolio that shows both process and product, decide whether the work ends or continues, and leave useful feedback or legacy material for future STARLAB students.</w:t>
      </w:r>
    </w:p>
    <w:p>
      <w:r>
        <w:t>Closure should not become a final file dump. Students should explain what each selected artifact proves about their decisions, evidence, revision, communication, or growth. A project may end responsibly even when the results are limited, the prototype did not work as intended, or the original question was not fully answered.</w:t>
      </w:r>
    </w:p>
    <w:p>
      <w:pPr>
        <w:pStyle w:val="Heading2"/>
      </w:pPr>
      <w:r>
        <w:t>Weekly Objectives</w:t>
      </w:r>
    </w:p>
    <w:p>
      <w:r>
        <w:t>Students will be able to:</w:t>
      </w:r>
    </w:p>
    <w:p>
      <w:pPr>
        <w:pStyle w:val="ListBullet"/>
        <w:spacing w:after="40"/>
      </w:pPr>
      <w:r>
        <w:rPr>
          <w:rFonts w:ascii="Arial" w:hAnsi="Arial"/>
        </w:rPr>
        <w:t>Reflect on how questions, plans, failures, evidence, feedback, and revisions shaped the project.</w:t>
      </w:r>
    </w:p>
    <w:p>
      <w:pPr>
        <w:pStyle w:val="ListBullet"/>
        <w:spacing w:after="40"/>
      </w:pPr>
      <w:r>
        <w:rPr>
          <w:rFonts w:ascii="Arial" w:hAnsi="Arial"/>
        </w:rPr>
        <w:t>Support a claim about personal growth with specific project evidence.</w:t>
      </w:r>
    </w:p>
    <w:p>
      <w:pPr>
        <w:pStyle w:val="ListBullet"/>
        <w:spacing w:after="40"/>
      </w:pPr>
      <w:r>
        <w:rPr>
          <w:rFonts w:ascii="Arial" w:hAnsi="Arial"/>
        </w:rPr>
        <w:t>Assemble and curate a portfolio representing both the research process and final products.</w:t>
      </w:r>
    </w:p>
    <w:p>
      <w:pPr>
        <w:pStyle w:val="ListBullet"/>
        <w:spacing w:after="40"/>
      </w:pPr>
      <w:r>
        <w:rPr>
          <w:rFonts w:ascii="Arial" w:hAnsi="Arial"/>
        </w:rPr>
        <w:t>Decide whether to close, continue, submit, publish, present, or redesign the project.</w:t>
      </w:r>
    </w:p>
    <w:p>
      <w:pPr>
        <w:pStyle w:val="ListBullet"/>
        <w:spacing w:after="40"/>
      </w:pPr>
      <w:r>
        <w:rPr>
          <w:rFonts w:ascii="Arial" w:hAnsi="Arial"/>
        </w:rPr>
        <w:t>Provide specific course feedback and useful advice or legacy material for future students.</w:t>
      </w:r>
    </w:p>
    <w:p>
      <w:pPr>
        <w:pStyle w:val="ListBullet"/>
        <w:spacing w:after="40"/>
      </w:pPr>
      <w:r>
        <w:rPr>
          <w:rFonts w:ascii="Arial" w:hAnsi="Arial"/>
        </w:rPr>
        <w:t>Archive project materials responsibly and protect private or sensitive information.</w:t>
      </w:r>
    </w:p>
    <w:p>
      <w:pPr>
        <w:pStyle w:val="Heading2"/>
      </w:pPr>
      <w:r>
        <w:t>Teacher Materials</w:t>
      </w:r>
    </w:p>
    <w:p>
      <w:pPr>
        <w:pStyle w:val="ListBullet"/>
        <w:spacing w:after="40"/>
      </w:pPr>
      <w:r>
        <w:t>Deck Use: Primary - Deck 19: Final Reflection and Research Portfolio</w:t>
      </w:r>
    </w:p>
    <w:p>
      <w:pPr>
        <w:pStyle w:val="ListBullet"/>
        <w:spacing w:after="40"/>
      </w:pPr>
      <w:r>
        <w:rPr>
          <w:rFonts w:ascii="Arial" w:hAnsi="Arial"/>
        </w:rPr>
        <w:t>Student Handout 15: Final Research Process Reflection</w:t>
      </w:r>
    </w:p>
    <w:p>
      <w:pPr>
        <w:pStyle w:val="ListBullet"/>
        <w:spacing w:after="40"/>
      </w:pPr>
      <w:r>
        <w:rPr>
          <w:rFonts w:ascii="Arial" w:hAnsi="Arial"/>
        </w:rPr>
        <w:t>Student Handout 16: STARLAB Portfolio Checklist</w:t>
      </w:r>
    </w:p>
    <w:p>
      <w:pPr>
        <w:pStyle w:val="ListBullet"/>
        <w:spacing w:after="40"/>
      </w:pPr>
      <w:r>
        <w:t>Optional - Student Handout 17: Next-Step Plan</w:t>
      </w:r>
    </w:p>
    <w:p>
      <w:pPr>
        <w:pStyle w:val="ListBullet"/>
        <w:spacing w:after="40"/>
      </w:pPr>
      <w:r>
        <w:rPr>
          <w:rFonts w:ascii="Arial" w:hAnsi="Arial"/>
        </w:rPr>
        <w:t>Student Handout 18: Course Feedback and Legacy Reflection</w:t>
      </w:r>
    </w:p>
    <w:p>
      <w:pPr>
        <w:pStyle w:val="ListBullet"/>
        <w:spacing w:after="40"/>
      </w:pPr>
      <w:r>
        <w:t>Optional / Teacher Reference - Appendix O: Portfolio Artifact Guide</w:t>
      </w:r>
    </w:p>
    <w:p>
      <w:pPr>
        <w:pStyle w:val="ListBullet"/>
        <w:spacing w:after="40"/>
      </w:pPr>
      <w:r>
        <w:t>Optional / Teacher Reference - Appendix P: Competition, Fair, and Publication Pathways</w:t>
      </w:r>
    </w:p>
    <w:p>
      <w:pPr>
        <w:pStyle w:val="ListBullet"/>
        <w:spacing w:after="40"/>
      </w:pPr>
      <w:r>
        <w:t>Optional / Teacher Reference - Appendix Q: Student Legacy Options</w:t>
      </w:r>
    </w:p>
    <w:p>
      <w:pPr>
        <w:pStyle w:val="ListBullet"/>
        <w:spacing w:after="40"/>
      </w:pPr>
      <w:r>
        <w:t>Optional / Teacher Reference - Appendix R: Unit 6 Teacher Checklist</w:t>
      </w:r>
    </w:p>
    <w:p>
      <w:pPr>
        <w:pStyle w:val="ListBullet"/>
        <w:spacing w:after="40"/>
      </w:pPr>
      <w:r>
        <w:t>Optional / Teacher Reference - Appendix S: Differentiation and Implementation Notes</w:t>
      </w:r>
    </w:p>
    <w:p>
      <w:pPr>
        <w:pStyle w:val="Heading2"/>
      </w:pPr>
      <w:r>
        <w:t>Preparation Before the Week</w:t>
      </w:r>
    </w:p>
    <w:p>
      <w:pPr>
        <w:pStyle w:val="ListBullet"/>
        <w:spacing w:after="40"/>
      </w:pPr>
      <w:r>
        <w:rPr>
          <w:rFonts w:ascii="Arial" w:hAnsi="Arial"/>
        </w:rPr>
        <w:t>Set the final portfolio format and submission location.</w:t>
      </w:r>
    </w:p>
    <w:p>
      <w:pPr>
        <w:pStyle w:val="ListBullet"/>
        <w:spacing w:after="40"/>
      </w:pPr>
      <w:r>
        <w:rPr>
          <w:rFonts w:ascii="Arial" w:hAnsi="Arial"/>
        </w:rPr>
        <w:t>Clarify required artifacts, acceptable alternatives, file naming, and privacy expectations.</w:t>
      </w:r>
    </w:p>
    <w:p>
      <w:pPr>
        <w:pStyle w:val="ListBullet"/>
        <w:spacing w:after="40"/>
      </w:pPr>
      <w:r>
        <w:rPr>
          <w:rFonts w:ascii="Arial" w:hAnsi="Arial"/>
        </w:rPr>
        <w:t>Identify students who need an incomplete-project pathway, alternative reflection format, or continuation conference.</w:t>
      </w:r>
    </w:p>
    <w:p>
      <w:pPr>
        <w:pStyle w:val="ListBullet"/>
        <w:spacing w:after="40"/>
      </w:pPr>
      <w:r>
        <w:rPr>
          <w:rFonts w:ascii="Arial" w:hAnsi="Arial"/>
        </w:rPr>
        <w:t>Decide which student feedback will be anonymous, private, or shareable with administrators and future teachers.</w:t>
      </w:r>
    </w:p>
    <w:p>
      <w:pPr>
        <w:pStyle w:val="ListBullet"/>
        <w:spacing w:after="40"/>
      </w:pPr>
      <w:r>
        <w:rPr>
          <w:rFonts w:ascii="Arial" w:hAnsi="Arial"/>
        </w:rPr>
        <w:t>Prepare a secure archive plan for exemplars, permissions, and records that should not remain public.</w:t>
      </w:r>
    </w:p>
    <w:p>
      <w:pPr>
        <w:pStyle w:val="Heading2"/>
      </w:pPr>
      <w:r>
        <w:t>Suggested Weekly Flow</w:t>
      </w:r>
    </w:p>
    <w:p>
      <w:pPr>
        <w:pStyle w:val="Heading3"/>
      </w:pPr>
      <w:r>
        <w:t>Day 1: Reconstruct the Research Story</w:t>
      </w:r>
    </w:p>
    <w:p>
      <w:r>
        <w:t>Teach Deck 19 through the research-timeline and growth-evidence activities. Students complete the core reflection in Student Handout 15. Ask them to identify turning points rather than simply list calendar events: an original assumption, failed pilot, method revision, data problem, important feedback, analysis decision, or presentation insight.</w:t>
      </w:r>
    </w:p>
    <w:p>
      <w:r>
        <w:rPr>
          <w:rFonts w:ascii="Arial" w:hAnsi="Arial"/>
          <w:b/>
        </w:rPr>
        <w:t xml:space="preserve">Quality standard: </w:t>
      </w:r>
      <w:r>
        <w:rPr>
          <w:rFonts w:ascii="Arial" w:hAnsi="Arial"/>
        </w:rPr>
        <w:t>Reflection should make a claim about growth and support it with a specific artifact, decision, or documented moment.</w:t>
      </w:r>
    </w:p>
    <w:p>
      <w:pPr>
        <w:pStyle w:val="Heading3"/>
      </w:pPr>
      <w:r>
        <w:t>Day 2: Curate the STARLAB Portfolio</w:t>
      </w:r>
    </w:p>
    <w:p>
      <w:r>
        <w:t>Students use Student Handout 16 to locate, select, label, and organize artifacts. Appendix O may be used as optional teacher/reference support. Require both process and product evidence. A portfolio should include short captions or an index so a reader can understand why each item matters.</w:t>
      </w:r>
    </w:p>
    <w:p>
      <w:pPr>
        <w:pStyle w:val="ListBullet"/>
        <w:spacing w:after="40"/>
      </w:pPr>
      <w:r>
        <w:rPr>
          <w:rFonts w:ascii="Arial" w:hAnsi="Arial"/>
        </w:rPr>
        <w:t>Research question or engineering goal and formal plan</w:t>
      </w:r>
    </w:p>
    <w:p>
      <w:pPr>
        <w:pStyle w:val="ListBullet"/>
        <w:spacing w:after="40"/>
      </w:pPr>
      <w:r>
        <w:rPr>
          <w:rFonts w:ascii="Arial" w:hAnsi="Arial"/>
        </w:rPr>
        <w:t>Safety/ethics approval evidence when applicable</w:t>
      </w:r>
    </w:p>
    <w:p>
      <w:pPr>
        <w:pStyle w:val="ListBullet"/>
        <w:spacing w:after="40"/>
      </w:pPr>
      <w:r>
        <w:rPr>
          <w:rFonts w:ascii="Arial" w:hAnsi="Arial"/>
        </w:rPr>
        <w:t>Research journal excerpts and troubleshooting/revision evidence</w:t>
      </w:r>
    </w:p>
    <w:p>
      <w:pPr>
        <w:pStyle w:val="ListBullet"/>
        <w:spacing w:after="40"/>
      </w:pPr>
      <w:r>
        <w:rPr>
          <w:rFonts w:ascii="Arial" w:hAnsi="Arial"/>
        </w:rPr>
        <w:t>Representative raw and clean data or prototype-testing records</w:t>
      </w:r>
    </w:p>
    <w:p>
      <w:pPr>
        <w:pStyle w:val="ListBullet"/>
        <w:spacing w:after="40"/>
      </w:pPr>
      <w:r>
        <w:rPr>
          <w:rFonts w:ascii="Arial" w:hAnsi="Arial"/>
        </w:rPr>
        <w:t>Final graphs, visuals, report, and presentation product</w:t>
      </w:r>
    </w:p>
    <w:p>
      <w:pPr>
        <w:pStyle w:val="ListBullet"/>
        <w:spacing w:after="40"/>
      </w:pPr>
      <w:r>
        <w:rPr>
          <w:rFonts w:ascii="Arial" w:hAnsi="Arial"/>
        </w:rPr>
        <w:t>Presentation feedback and final reflection</w:t>
      </w:r>
    </w:p>
    <w:p>
      <w:r>
        <w:t>Students should remove duplicate drafts, rename unclear files, and protect information that should not be publicly shared.</w:t>
      </w:r>
    </w:p>
    <w:p>
      <w:pPr>
        <w:pStyle w:val="Heading3"/>
      </w:pPr>
      <w:r>
        <w:t>Day 3: Close or Continue the Project</w:t>
      </w:r>
    </w:p>
    <w:p>
      <w:r>
        <w:t>Use Student Handout 17 and Appendix P only for students who are considering continued research, competition, publication, mentor work, redesign, or community presentation. It is acceptable to end a project well. A continuation plan should identify what must improve, what approval or support is needed, and one realistic next action.</w:t>
      </w:r>
    </w:p>
    <w:p>
      <w:r>
        <w:rPr>
          <w:rFonts w:ascii="Arial" w:hAnsi="Arial"/>
          <w:b/>
        </w:rPr>
        <w:t xml:space="preserve">Safety and approval reminder: </w:t>
      </w:r>
      <w:r>
        <w:rPr>
          <w:rFonts w:ascii="Arial" w:hAnsi="Arial"/>
        </w:rPr>
        <w:t>Course completion does not authorize new testing. Continued work that changes participants, methods, materials, tools, locations, risks, or data use requires the appropriate new review and approval.</w:t>
      </w:r>
    </w:p>
    <w:p>
      <w:pPr>
        <w:pStyle w:val="Heading3"/>
      </w:pPr>
      <w:r>
        <w:t>Day 4: Course Feedback and Student Legacy</w:t>
      </w:r>
    </w:p>
    <w:p>
      <w:r>
        <w:t>Students complete Student Handout 18 and may create one useful legacy artifact from Appendix Q. Encourage feedback that is specific, constructive, and tied to a part of the course experience. Keep evaluative student feedback private unless students have been told clearly how it will be used.</w:t>
      </w:r>
    </w:p>
    <w:p>
      <w:r>
        <w:t>Possible legacy artifacts include advice to future students, a troubleshooting guide, an equipment tip, a data-collection template, a short project example, or a 'what I wish I knew' reflection. Review artifacts before sharing them with future classes.</w:t>
      </w:r>
    </w:p>
    <w:p>
      <w:pPr>
        <w:pStyle w:val="Heading3"/>
      </w:pPr>
      <w:r>
        <w:t>Day 5: Completion Check, Archive, and Celebration</w:t>
      </w:r>
    </w:p>
    <w:p>
      <w:r>
        <w:t>Appendix R may be used as an optional teacher checklist to verify that each student completed the required presentation, reflection, portfolio, and course-feedback evidence. Hold short completion conferences as needed. Students archive final materials, confirm access permissions, and submit the portfolio in the required format.</w:t>
      </w:r>
    </w:p>
    <w:p>
      <w:r>
        <w:t>End with a brief recognition of the full research arc: question, plan, pilot, collection, analysis, report, presentation, and reflection. Celebrate persistence and honest scientific thinking without ranking projects only by polished outcomes.</w:t>
      </w:r>
    </w:p>
    <w:p>
      <w:pPr>
        <w:pStyle w:val="Heading2"/>
      </w:pPr>
      <w:r>
        <w:t>Portfolio Acceptance Check</w:t>
      </w:r>
    </w:p>
    <w:tbl>
      <w:tblPr>
        <w:tblStyle w:val="TableGrid"/>
        <w:tblW w:type="dxa" w:w="9720"/>
        <w:tblLayout w:type="fixed"/>
        <w:tblLook w:firstColumn="1" w:firstRow="1" w:lastColumn="0" w:lastRow="0" w:noHBand="0" w:noVBand="1" w:val="04A0"/>
        <w:tblInd w:w="100" w:type="dxa"/>
      </w:tblPr>
      <w:tblGrid>
        <w:gridCol w:w="792"/>
        <w:gridCol w:w="6408"/>
        <w:gridCol w:w="2520"/>
      </w:tblGrid>
      <w:tr>
        <w:trPr>
          <w:tblHeader w:val="true"/>
          <w:cantSplit w:val="true"/>
        </w:trPr>
        <w:tc>
          <w:tcPr>
            <w:tcW w:type="dxa" w:w="792"/>
            <w:shd w:fill="DCE6F1"/>
            <w:vAlign w:val="center"/>
            <w:tcMar>
              <w:top w:w="90" w:type="dxa"/>
              <w:start w:w="100" w:type="dxa"/>
              <w:bottom w:w="90" w:type="dxa"/>
              <w:end w:w="100" w:type="dxa"/>
            </w:tcMar>
          </w:tcPr>
          <w:p>
            <w:pPr>
              <w:spacing w:after="0"/>
              <w:jc w:val="center"/>
            </w:pPr>
            <w:r>
              <w:rPr>
                <w:rFonts w:ascii="Arial" w:hAnsi="Arial"/>
                <w:b/>
                <w:color w:val="111111"/>
                <w:sz w:val="17"/>
              </w:rPr>
              <w:t>Check</w:t>
            </w:r>
          </w:p>
        </w:tc>
        <w:tc>
          <w:tcPr>
            <w:tcW w:type="dxa" w:w="6408"/>
            <w:shd w:fill="DCE6F1"/>
            <w:vAlign w:val="center"/>
            <w:tcMar>
              <w:top w:w="90" w:type="dxa"/>
              <w:start w:w="100" w:type="dxa"/>
              <w:bottom w:w="90" w:type="dxa"/>
              <w:end w:w="100" w:type="dxa"/>
            </w:tcMar>
          </w:tcPr>
          <w:p>
            <w:pPr>
              <w:spacing w:after="0"/>
              <w:jc w:val="left"/>
            </w:pPr>
            <w:r>
              <w:rPr>
                <w:rFonts w:ascii="Arial" w:hAnsi="Arial"/>
                <w:b/>
                <w:color w:val="111111"/>
                <w:sz w:val="17"/>
              </w:rPr>
              <w:t>Portfolio Evidence</w:t>
            </w:r>
          </w:p>
        </w:tc>
        <w:tc>
          <w:tcPr>
            <w:tcW w:type="dxa" w:w="2520"/>
            <w:shd w:fill="DCE6F1"/>
            <w:vAlign w:val="center"/>
            <w:tcMar>
              <w:top w:w="90" w:type="dxa"/>
              <w:start w:w="100" w:type="dxa"/>
              <w:bottom w:w="90" w:type="dxa"/>
              <w:end w:w="100" w:type="dxa"/>
            </w:tcMar>
          </w:tcPr>
          <w:p>
            <w:pPr>
              <w:spacing w:after="0"/>
              <w:jc w:val="left"/>
            </w:pPr>
            <w:r>
              <w:rPr>
                <w:rFonts w:ascii="Arial" w:hAnsi="Arial"/>
                <w:b/>
                <w:color w:val="111111"/>
                <w:sz w:val="17"/>
              </w:rPr>
              <w:t>Teacher Verification</w:t>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Research question/goal, formal plan, and approval evidence when applicable</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Research journal/process evidence, including a challenge or revision</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Representative raw/clean data, testing records, images, or outputs</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Final analysis visuals and research report</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Final poster, board, slides, or approved presentation product</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Presentation/audience feedback and post-presentation reflection</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Final research-process reflection with evidence of growth</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792"/>
            <w:vAlign w:val="center"/>
            <w:tcMar>
              <w:top w:w="90" w:type="dxa"/>
              <w:start w:w="100" w:type="dxa"/>
              <w:bottom w:w="90" w:type="dxa"/>
              <w:end w:w="100" w:type="dxa"/>
            </w:tcMar>
          </w:tcPr>
          <w:p>
            <w:pPr>
              <w:spacing w:after="0"/>
              <w:jc w:val="center"/>
            </w:pPr>
            <w:r>
              <w:rPr>
                <w:rFonts w:ascii="Arial" w:hAnsi="Arial"/>
                <w:sz w:val="17"/>
              </w:rPr>
              <w:t>[ ]</w:t>
            </w:r>
          </w:p>
        </w:tc>
        <w:tc>
          <w:tcPr>
            <w:tcW w:type="dxa" w:w="6408"/>
            <w:vAlign w:val="center"/>
            <w:tcMar>
              <w:top w:w="90" w:type="dxa"/>
              <w:start w:w="100" w:type="dxa"/>
              <w:bottom w:w="90" w:type="dxa"/>
              <w:end w:w="100" w:type="dxa"/>
            </w:tcMar>
          </w:tcPr>
          <w:p>
            <w:pPr>
              <w:spacing w:after="0"/>
              <w:jc w:val="left"/>
            </w:pPr>
            <w:r>
              <w:rPr>
                <w:rFonts w:ascii="Arial" w:hAnsi="Arial"/>
                <w:sz w:val="17"/>
              </w:rPr>
              <w:t>Files named clearly; private/sensitive information handled appropriately</w:t>
            </w:r>
          </w:p>
        </w:tc>
        <w:tc>
          <w:tcPr>
            <w:tcW w:type="dxa" w:w="2520"/>
            <w:vAlign w:val="center"/>
            <w:tcMar>
              <w:top w:w="90" w:type="dxa"/>
              <w:start w:w="100" w:type="dxa"/>
              <w:bottom w:w="90" w:type="dxa"/>
              <w:end w:w="100" w:type="dxa"/>
            </w:tcMar>
          </w:tcPr>
          <w:p>
            <w:pPr>
              <w:spacing w:after="0"/>
              <w:jc w:val="left"/>
            </w:pPr>
            <w:r>
              <w:rPr>
                <w:rFonts w:ascii="Arial" w:hAnsi="Arial"/>
                <w:sz w:val="17"/>
              </w:rPr>
            </w:r>
          </w:p>
        </w:tc>
      </w:tr>
    </w:tbl>
    <w:p>
      <w:pPr>
        <w:spacing w:after="20"/>
      </w:pPr>
    </w:p>
    <w:p>
      <w:pPr>
        <w:pStyle w:val="Heading2"/>
      </w:pPr>
      <w:r>
        <w:t>Week 34 Deliverables</w:t>
      </w:r>
    </w:p>
    <w:p>
      <w:pPr>
        <w:pStyle w:val="ListBullet"/>
        <w:spacing w:after="40"/>
      </w:pPr>
      <w:r>
        <w:rPr>
          <w:rFonts w:ascii="Arial" w:hAnsi="Arial"/>
        </w:rPr>
        <w:t>Student Handout 15: Final Research Process Reflection</w:t>
      </w:r>
    </w:p>
    <w:p>
      <w:pPr>
        <w:pStyle w:val="ListBullet"/>
        <w:spacing w:after="40"/>
      </w:pPr>
      <w:r>
        <w:rPr>
          <w:rFonts w:ascii="Arial" w:hAnsi="Arial"/>
        </w:rPr>
        <w:t>Student Handout 16: Completed STARLAB Portfolio Checklist</w:t>
      </w:r>
    </w:p>
    <w:p>
      <w:pPr>
        <w:pStyle w:val="ListBullet"/>
        <w:spacing w:after="40"/>
      </w:pPr>
      <w:r>
        <w:rPr>
          <w:rFonts w:ascii="Arial" w:hAnsi="Arial"/>
        </w:rPr>
        <w:t>Curated STARLAB portfolio in the required format</w:t>
      </w:r>
    </w:p>
    <w:p>
      <w:pPr>
        <w:pStyle w:val="ListBullet"/>
        <w:spacing w:after="40"/>
      </w:pPr>
      <w:r>
        <w:rPr>
          <w:rFonts w:ascii="Arial" w:hAnsi="Arial"/>
        </w:rPr>
        <w:t>Student Handout 17: Optional Next-Step Plan, when applicable</w:t>
      </w:r>
    </w:p>
    <w:p>
      <w:pPr>
        <w:pStyle w:val="ListBullet"/>
        <w:spacing w:after="40"/>
      </w:pPr>
      <w:r>
        <w:rPr>
          <w:rFonts w:ascii="Arial" w:hAnsi="Arial"/>
        </w:rPr>
        <w:t>Student Handout 18: Course Feedback and Legacy Reflection</w:t>
      </w:r>
    </w:p>
    <w:p>
      <w:pPr>
        <w:pStyle w:val="ListBullet"/>
        <w:spacing w:after="40"/>
      </w:pPr>
      <w:r>
        <w:rPr>
          <w:rFonts w:ascii="Arial" w:hAnsi="Arial"/>
        </w:rPr>
        <w:t>Approved legacy artifact, when assigned or selected</w:t>
      </w:r>
    </w:p>
    <w:p>
      <w:pPr>
        <w:pStyle w:val="ListBullet"/>
        <w:spacing w:after="40"/>
      </w:pPr>
      <w:r>
        <w:t>Optional teacher completion check using Appendix R</w:t>
      </w:r>
    </w:p>
    <w:p>
      <w:pPr>
        <w:pStyle w:val="Heading2"/>
      </w:pPr>
      <w:r>
        <w:t>Assessment and Grade Closure</w:t>
      </w:r>
    </w:p>
    <w:p>
      <w:r>
        <w:t>Use existing course rubrics and the syllabus categories to close grades. Week 34 reflections and portfolios can verify documentation, revision, analysis, report, and presentation evidence, but they should not silently create a new seventh grading category. Portfolio organization may support evaluation of existing evidence; it should not outweigh the quality and integrity of the research work it contains.</w:t>
      </w:r>
    </w:p>
    <w:p>
      <w:r>
        <w:t>For incomplete or unsuccessful projects, assess the work students can substantiate: planning, approvals, documentation, troubleshooting, evidence collected, analysis of limitations, scientific writing, communication, and reflection. Do not reward invented completion or penalize an honest result simply because the original hypothesis was not supported.</w:t>
      </w:r>
    </w:p>
    <w:p>
      <w:pPr>
        <w:pStyle w:val="Heading2"/>
      </w:pPr>
      <w:r>
        <w:t>Implementation and Accessibility</w:t>
      </w:r>
    </w:p>
    <w:p>
      <w:pPr>
        <w:pStyle w:val="ListBullet"/>
        <w:spacing w:after="40"/>
      </w:pPr>
      <w:r>
        <w:rPr>
          <w:rFonts w:ascii="Arial" w:hAnsi="Arial"/>
        </w:rPr>
        <w:t>Students with presentation anxiety or accessibility needs may use an approved alternative presentation/reflection format while still demonstrating understanding.</w:t>
      </w:r>
    </w:p>
    <w:p>
      <w:pPr>
        <w:pStyle w:val="ListBullet"/>
        <w:spacing w:after="40"/>
      </w:pPr>
      <w:r>
        <w:rPr>
          <w:rFonts w:ascii="Arial" w:hAnsi="Arial"/>
        </w:rPr>
        <w:t>Students with incomplete projects may frame the portfolio as a pilot study, feasibility study, prototype failure analysis, method-development project, or preliminary-data project when accurate.</w:t>
      </w:r>
    </w:p>
    <w:p>
      <w:pPr>
        <w:pStyle w:val="ListBullet"/>
        <w:spacing w:after="40"/>
      </w:pPr>
      <w:r>
        <w:rPr>
          <w:rFonts w:ascii="Arial" w:hAnsi="Arial"/>
        </w:rPr>
        <w:t>Students needing language support may use sentence frames, vocabulary support, visual evidence, oral conferencing, or speech-to-text tools.</w:t>
      </w:r>
    </w:p>
    <w:p>
      <w:pPr>
        <w:pStyle w:val="ListBullet"/>
        <w:spacing w:after="40"/>
      </w:pPr>
      <w:r>
        <w:rPr>
          <w:rFonts w:ascii="Arial" w:hAnsi="Arial"/>
        </w:rPr>
        <w:t>Advanced students may prepare a competition submission, technical appendix, manuscript-style report, mentor-panel defense, or continuation proposal after requirements and approvals are checked.</w:t>
      </w:r>
    </w:p>
    <w:p>
      <w:pPr>
        <w:pStyle w:val="Heading2"/>
      </w:pPr>
      <w:r>
        <w:t>Records, Privacy, and Exemplars</w:t>
      </w:r>
    </w:p>
    <w:p>
      <w:pPr>
        <w:keepLines/>
      </w:pPr>
      <w:r>
        <w:t>Before saving or sharing portfolios as exemplars, remove private participant information, confidential mentor communications, sensitive location information, unapproved student images, and data that should not be public. Follow district retention, consent, accessibility, and publication expectations. Keep the teacher archive separate from any public showcase collection.</w:t>
      </w:r>
    </w:p>
    <w:p>
      <w:pPr>
        <w:pStyle w:val="Heading2"/>
      </w:pPr>
      <w:r>
        <w:t>Teacher Reflection and Course Improvement</w:t>
      </w:r>
    </w:p>
    <w:p>
      <w:pPr>
        <w:pStyle w:val="ListBullet"/>
        <w:spacing w:after="40"/>
      </w:pPr>
      <w:r>
        <w:rPr>
          <w:rFonts w:ascii="Arial" w:hAnsi="Arial"/>
        </w:rPr>
        <w:t>Which units or weeks required more time than the calendar allowed?</w:t>
      </w:r>
    </w:p>
    <w:p>
      <w:pPr>
        <w:pStyle w:val="ListBullet"/>
        <w:spacing w:after="40"/>
      </w:pPr>
      <w:r>
        <w:rPr>
          <w:rFonts w:ascii="Arial" w:hAnsi="Arial"/>
        </w:rPr>
        <w:t>Which resources, decks, forms, or approval steps caused confusion?</w:t>
      </w:r>
    </w:p>
    <w:p>
      <w:pPr>
        <w:pStyle w:val="ListBullet"/>
        <w:spacing w:after="40"/>
      </w:pPr>
      <w:r>
        <w:rPr>
          <w:rFonts w:ascii="Arial" w:hAnsi="Arial"/>
        </w:rPr>
        <w:t>Which project types required the most supervision or outside support?</w:t>
      </w:r>
    </w:p>
    <w:p>
      <w:pPr>
        <w:pStyle w:val="ListBullet"/>
        <w:spacing w:after="40"/>
      </w:pPr>
      <w:r>
        <w:rPr>
          <w:rFonts w:ascii="Arial" w:hAnsi="Arial"/>
        </w:rPr>
        <w:t>Which students needed a different pathway, and what support worked?</w:t>
      </w:r>
    </w:p>
    <w:p>
      <w:pPr>
        <w:pStyle w:val="ListBullet"/>
        <w:spacing w:after="40"/>
      </w:pPr>
      <w:r>
        <w:rPr>
          <w:rFonts w:ascii="Arial" w:hAnsi="Arial"/>
        </w:rPr>
        <w:t>Which student artifacts could serve as approved exemplars next year?</w:t>
      </w:r>
    </w:p>
    <w:p>
      <w:pPr>
        <w:pStyle w:val="ListBullet"/>
        <w:spacing w:after="40"/>
      </w:pPr>
      <w:r>
        <w:rPr>
          <w:rFonts w:ascii="Arial" w:hAnsi="Arial"/>
        </w:rPr>
        <w:t>What equipment, mentor, scheduling, safety, or showcase changes should be addressed before the next launch?</w:t>
      </w:r>
    </w:p>
    <w:p>
      <w:r>
        <w:t>Archive teacher notes while the year is fresh. Separate changes that improve the universal STARLAB course from local scheduling, staffing, facility, or district-policy decisions.</w:t>
      </w:r>
    </w:p>
    <w:p>
      <w:pPr>
        <w:pStyle w:val="Heading2"/>
      </w:pPr>
      <w:r>
        <w:t>Teacher Notes</w:t>
      </w:r>
    </w:p>
    <w:p>
      <w:r>
        <w:t>The final week should feel both academically serious and genuinely celebratory. The most important closure outcome is that students can explain how evidence, uncertainty, failure, feedback, and revision shaped their work - and can preserve that story in a form another person can understand.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34: Final Reflection, Portfolio, and Next Steps</dc:title>
  <dc:subject>STARLAB Unit 6 teaching guide</dc:subject>
  <dc:creator>STARLAB</dc:creator>
  <cp:keywords>STARLAB, Unit 6, Week 34, final reflection, research portfolio, next steps, course closure, Deck 19</cp:keywords>
  <dc:description>STARLAB curriculum document</dc:description>
  <cp:lastModifiedBy/>
  <cp:revision>1</cp:revision>
  <dcterms:created xsi:type="dcterms:W3CDTF">2013-12-23T23:15:00Z</dcterms:created>
  <dcterms:modified xsi:type="dcterms:W3CDTF">2013-12-23T23:15:00Z</dcterms:modified>
  <cp:category>Curriculum</cp:category>
</cp:coreProperties>
</file>