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February 17, 2026</w:t>
      </w:r>
    </w:p>
    <w:p/>
    <w:p>
      <w:r>
        <w:t>Hiring Manager</w:t>
      </w:r>
    </w:p>
    <w:p>
      <w:r>
        <w:t>Astra</w:t>
      </w:r>
    </w:p>
    <w:p>
      <w:r>
        <w:t>Remote (United States)</w:t>
      </w:r>
    </w:p>
    <w:p/>
    <w:p>
      <w:r>
        <w:t>Re: GRC Analyst Position</w:t>
      </w:r>
    </w:p>
    <w:p/>
    <w:p>
      <w:r>
        <w:t>Dear Hiring Manager,</w:t>
      </w:r>
    </w:p>
    <w:p/>
    <w:p>
      <w:r>
        <w:t>At UTRS, I owned the end-to-end implementation of secure system compliance across multiple U.S. Army simulation environments supporting mission-critical training infrastructure. The challenge was ensuring operational continuity while eliminating recurring DISA STIG and vulnerability findings identified through Nessus scans and internal reviews.</w:t>
      </w:r>
    </w:p>
    <w:p/>
    <w:p>
      <w:r>
        <w:t>I translated security requirements into actionable technical controls across Windows and Linux systems, application layers, and network configurations. This included conducting risk assessments, documenting control narratives, coordinating remediation across engineering teams, and validating findings prior to formal review cycles. The objective was not simply passing inspections, but building a durable control environment that reduced recurring findings and strengthened operational confidence.</w:t>
      </w:r>
    </w:p>
    <w:p/>
    <w:p>
      <w:r>
        <w:t>I developed standardized hardening baselines, configuration scripts, SOPs, and audit artifacts that allowed the organization to scale securely across domestic and international deployments. The result was elimination of recurring compliance findings and sustained near 100% uptime for critical systems.</w:t>
      </w:r>
    </w:p>
    <w:p/>
    <w:p>
      <w:r>
        <w:t>More recently, I have expanded into structured GRC frameworks, aligning control documentation and risk methodologies with SOC, ISO 27001, PCI DSS, and NIST-aligned practices. I view compliance as an engineering discipline — one that enables trust, operational maturity, and responsible scale.</w:t>
      </w:r>
    </w:p>
    <w:p/>
    <w:p>
      <w:r>
        <w:t>Astra’s mission to build secure financial infrastructure at scale resonates strongly with my background in secure systems architecture and cross-functional collaboration. I would welcome the opportunity to help build and operationalize a scalable GRC foundation that supports Astra’s continued growth.</w:t>
      </w:r>
    </w:p>
    <w:p/>
    <w:p>
      <w:r>
        <w:t>Sincerely,</w:t>
      </w:r>
    </w:p>
    <w:p/>
    <w:p>
      <w:r>
        <w:t>Brian Hannigan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