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BRIAN HANNIGAN</w:t>
      </w:r>
    </w:p>
    <w:p>
      <w:pPr>
        <w:jc w:val="center"/>
      </w:pPr>
      <w:r>
        <w:rPr>
          <w:sz w:val="21"/>
        </w:rPr>
        <w:t>Remote | 07876 | (862) 243-1177 | jobshannigan@gmail.com</w:t>
      </w:r>
    </w:p>
    <w:p>
      <w:pPr>
        <w:jc w:val="center"/>
      </w:pPr>
      <w:r>
        <w:rPr>
          <w:sz w:val="21"/>
        </w:rPr>
        <w:t>LinkedIn: linkedin.com/in/brianjhannigan | GitHub: github.com/brianhannigan</w:t>
      </w:r>
    </w:p>
    <w:p>
      <w:r>
        <w:rPr>
          <w:b/>
          <w:sz w:val="23"/>
        </w:rPr>
        <w:t>PROFESSIONAL SUMMARY</w:t>
      </w:r>
    </w:p>
    <w:p>
      <w:r>
        <w:rPr>
          <w:sz w:val="21"/>
        </w:rPr>
        <w:t>GRC Analyst and compliance-focused security professional with experience supporting secure deployments, evidence-driven documentation, and risk-aware engineering.</w:t>
      </w:r>
    </w:p>
    <w:p>
      <w:r>
        <w:rPr>
          <w:b/>
          <w:sz w:val="23"/>
        </w:rPr>
        <w:t>CORE SKILLS</w:t>
      </w:r>
    </w:p>
    <w:p>
      <w:pPr>
        <w:pStyle w:val="ListBullet"/>
      </w:pPr>
      <w:r>
        <w:rPr>
          <w:sz w:val="21"/>
        </w:rPr>
        <w:t>GRC: risk assessments, evidence collection, control mapping, gap tracking, remediation planning</w:t>
      </w:r>
    </w:p>
    <w:p>
      <w:pPr>
        <w:pStyle w:val="ListBullet"/>
      </w:pPr>
      <w:r>
        <w:rPr>
          <w:sz w:val="21"/>
        </w:rPr>
        <w:t>Assessment Support: stakeholder interviews, documentation review, audit trails, follow-up tracking</w:t>
      </w:r>
    </w:p>
    <w:p>
      <w:pPr>
        <w:pStyle w:val="ListBullet"/>
      </w:pPr>
      <w:r>
        <w:rPr>
          <w:sz w:val="21"/>
        </w:rPr>
        <w:t>Framework Exposure: HIPAA concepts, NIST concepts, SOC 2 concepts</w:t>
      </w:r>
    </w:p>
    <w:p>
      <w:pPr>
        <w:pStyle w:val="ListBullet"/>
      </w:pPr>
      <w:r>
        <w:rPr>
          <w:sz w:val="21"/>
        </w:rPr>
        <w:t>Technical Context: vulnerability remediation workflows, secure configuration, Windows/Linux exposure</w:t>
      </w:r>
    </w:p>
    <w:p>
      <w:pPr>
        <w:pStyle w:val="ListBullet"/>
      </w:pPr>
      <w:r>
        <w:rPr>
          <w:sz w:val="21"/>
        </w:rPr>
        <w:t>Communication: concise writing, executive-ready summaries, status reporting</w:t>
      </w:r>
    </w:p>
    <w:p>
      <w:r>
        <w:rPr>
          <w:b/>
          <w:sz w:val="23"/>
        </w:rPr>
        <w:t>EXPERIENCE</w:t>
      </w:r>
    </w:p>
    <w:p>
      <w:pPr>
        <w:pStyle w:val="ListBullet"/>
      </w:pPr>
      <w:r>
        <w:rPr>
          <w:sz w:val="21"/>
        </w:rPr>
        <w:t>Log(N) Pacific — Cyber Security Support Analyst (Vulnerability Management &amp; SecOps Intern) (2025–Present)</w:t>
      </w:r>
    </w:p>
    <w:p>
      <w:pPr>
        <w:pStyle w:val="ListBullet"/>
      </w:pPr>
      <w:r>
        <w:rPr>
          <w:sz w:val="21"/>
        </w:rPr>
        <w:t>Evidence-friendly remediation reporting and control-aligned activities (Tenable scans, DISA STIG audits, automation).</w:t>
      </w:r>
    </w:p>
    <w:p>
      <w:pPr>
        <w:pStyle w:val="ListBullet"/>
      </w:pPr>
      <w:r>
        <w:rPr>
          <w:sz w:val="21"/>
        </w:rPr>
        <w:t>Measurable risk reduction outcomes (critical/high/medium reductions; exposure hardening).</w:t>
      </w:r>
    </w:p>
    <w:p>
      <w:pPr>
        <w:pStyle w:val="ListBullet"/>
      </w:pPr>
    </w:p>
    <w:p>
      <w:pPr>
        <w:pStyle w:val="ListBullet"/>
      </w:pPr>
      <w:r>
        <w:rPr>
          <w:sz w:val="21"/>
        </w:rPr>
        <w:t>Independent Consulting — Security &amp; Automation Consultant (Various)</w:t>
      </w:r>
    </w:p>
    <w:p>
      <w:pPr>
        <w:pStyle w:val="ListBullet"/>
      </w:pPr>
      <w:r>
        <w:rPr>
          <w:sz w:val="21"/>
        </w:rPr>
        <w:t>Structured trackers + documentation templates supporting audit readiness and follow-ups.</w:t>
      </w:r>
    </w:p>
    <w:p>
      <w:pPr>
        <w:pStyle w:val="ListBullet"/>
      </w:pPr>
    </w:p>
    <w:p>
      <w:pPr>
        <w:pStyle w:val="ListBullet"/>
      </w:pPr>
      <w:r>
        <w:rPr>
          <w:sz w:val="21"/>
        </w:rPr>
        <w:t>UTRS, Inc — Technical Systems Engineer (2011–2025)</w:t>
      </w:r>
    </w:p>
    <w:p>
      <w:pPr>
        <w:pStyle w:val="ListBullet"/>
      </w:pPr>
      <w:r>
        <w:rPr>
          <w:sz w:val="21"/>
        </w:rPr>
        <w:t>SOPs, sustainment artifacts, deployment documentation, compliance-aligned operational practices.</w:t>
      </w:r>
    </w:p>
    <w:p>
      <w:r>
        <w:rPr>
          <w:b/>
          <w:sz w:val="23"/>
        </w:rPr>
        <w:t>PROJECTS</w:t>
      </w:r>
    </w:p>
    <w:p>
      <w:pPr>
        <w:pStyle w:val="ListBullet"/>
      </w:pPr>
      <w:r>
        <w:rPr>
          <w:sz w:val="21"/>
        </w:rPr>
        <w:t>Portable Translator — reliable local services with logging and repeatable startup workflows.</w:t>
      </w:r>
    </w:p>
    <w:p>
      <w:r>
        <w:rPr>
          <w:b/>
          <w:sz w:val="23"/>
        </w:rPr>
        <w:t>EDUCATION</w:t>
      </w:r>
    </w:p>
    <w:p>
      <w:pPr>
        <w:pStyle w:val="ListBullet"/>
      </w:pPr>
      <w:r>
        <w:rPr>
          <w:sz w:val="21"/>
        </w:rPr>
        <w:t>Master’s — New Jersey City University</w:t>
      </w:r>
    </w:p>
    <w:p>
      <w:pPr>
        <w:pStyle w:val="ListBullet"/>
      </w:pPr>
      <w:r>
        <w:rPr>
          <w:sz w:val="21"/>
        </w:rPr>
        <w:t>B.S. — University of Delaware</w:t>
      </w:r>
    </w:p>
    <w:p>
      <w:pPr>
        <w:pStyle w:val="ListBullet"/>
      </w:pPr>
      <w:r>
        <w:rPr>
          <w:sz w:val="21"/>
        </w:rPr>
        <w:t>Programming Diploma — Chubb Institute</w:t>
      </w:r>
    </w:p>
    <w:p>
      <w:r>
        <w:rPr>
          <w:b/>
          <w:sz w:val="23"/>
        </w:rPr>
        <w:t>CERTIFICATIONS</w:t>
      </w:r>
    </w:p>
    <w:p>
      <w:pPr>
        <w:pStyle w:val="ListBullet"/>
      </w:pPr>
      <w:r>
        <w:rPr>
          <w:sz w:val="21"/>
        </w:rPr>
        <w:t>CompTIA Security+</w:t>
      </w:r>
    </w:p>
    <w:p>
      <w:pPr>
        <w:pStyle w:val="ListBullet"/>
      </w:pPr>
      <w:r>
        <w:rPr>
          <w:sz w:val="21"/>
        </w:rPr>
        <w:t>InfraGard Member</w:t>
      </w:r>
    </w:p>
    <w:p>
      <w:pPr>
        <w:pStyle w:val="ListBullet"/>
      </w:pPr>
      <w:r>
        <w:rPr>
          <w:sz w:val="21"/>
        </w:rPr>
        <w:t>SOC Core Skills</w:t>
      </w:r>
    </w:p>
    <w:p>
      <w:pPr>
        <w:pStyle w:val="ListBullet"/>
      </w:pPr>
      <w:r>
        <w:rPr>
          <w:sz w:val="21"/>
        </w:rPr>
        <w:t>Active Defense &amp; Cyber Deception</w:t>
      </w:r>
    </w:p>
    <w:p>
      <w:pPr>
        <w:pStyle w:val="ListBullet"/>
      </w:pPr>
      <w:r>
        <w:rPr>
          <w:sz w:val="21"/>
        </w:rPr>
        <w:t>Red Team Summit</w:t>
      </w:r>
    </w:p>
    <w:p>
      <w:pPr>
        <w:pStyle w:val="ListBullet"/>
      </w:pPr>
      <w:r>
        <w:rPr>
          <w:sz w:val="21"/>
        </w:rPr>
        <w:t>Hacking Humans: Social Engineering &amp; Elicitation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