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Sans serif" w:hAnsi="Sans serif"/>
          <w:b/>
          <w:bCs/>
          <w:sz w:val="28"/>
          <w:szCs w:val="28"/>
        </w:rPr>
        <w:t xml:space="preserve">HomeCo Item Recommendation Campaigns Analysis </w:t>
      </w:r>
    </w:p>
    <w:p>
      <w:pPr>
        <w:pStyle w:val="Normal"/>
        <w:jc w:val="both"/>
        <w:rPr>
          <w:rFonts w:ascii="Sans serif" w:hAnsi="Sans serif"/>
        </w:rPr>
      </w:pPr>
      <w:r>
        <w:rPr>
          <w:rFonts w:ascii="Sans serif" w:hAnsi="Sans serif"/>
        </w:rPr>
      </w:r>
    </w:p>
    <w:p>
      <w:pPr>
        <w:pStyle w:val="Normal"/>
        <w:jc w:val="both"/>
        <w:rPr>
          <w:rFonts w:ascii="Sans serif" w:hAnsi="Sans serif"/>
        </w:rPr>
      </w:pPr>
      <w:r>
        <w:rPr>
          <w:rFonts w:ascii="Sans serif" w:hAnsi="Sans serif"/>
        </w:rPr>
        <w:t>Granify has completed our month-long test of the effectiveness of two campaigns on customers who added a kitchen item to their cart: one campaign displayed to the customer a kitchen item recommendation, while the other displayed a furniture item recommendation. Both campaigns were run on a random sample of visitors to HomeCo’s online store and each group was compared to a group of visitors who were eligible to be shown that recommendation but were not shown it.</w:t>
      </w:r>
    </w:p>
    <w:p>
      <w:pPr>
        <w:pStyle w:val="Normal"/>
        <w:jc w:val="both"/>
        <w:rPr>
          <w:rFonts w:ascii="Sans serif" w:hAnsi="Sans serif"/>
        </w:rPr>
      </w:pPr>
      <w:r>
        <w:rPr>
          <w:rFonts w:ascii="Sans serif" w:hAnsi="Sans serif"/>
        </w:rPr>
      </w:r>
    </w:p>
    <w:p>
      <w:pPr>
        <w:pStyle w:val="Normal"/>
        <w:jc w:val="both"/>
        <w:rPr/>
      </w:pPr>
      <w:r>
        <w:rPr>
          <w:rFonts w:ascii="Sans serif" w:hAnsi="Sans serif"/>
        </w:rPr>
        <w:t xml:space="preserve">We found that the campaign displaying a kitchen item recommendation resulted in a statistically significant increase in the average order value of $0.64 (0.55%) over the group that was not shown the recommendation. Meanwhile, displaying a furniture item recommendation resulted in a $1.54 (1.35%) increase in the average order value, </w:t>
      </w:r>
      <w:r>
        <w:rPr>
          <w:rFonts w:ascii="Sans serif" w:hAnsi="Sans serif"/>
          <w:i/>
          <w:iCs/>
        </w:rPr>
        <w:t>however this increase in average value was not statistically significant.</w:t>
      </w:r>
      <w:r>
        <w:rPr>
          <w:rFonts w:ascii="Sans serif" w:hAnsi="Sans serif"/>
          <w:i w:val="false"/>
          <w:iCs w:val="false"/>
        </w:rPr>
        <w:t xml:space="preserve"> Even though the increase in average order value was higher for the furniture item campaign, there is a good chance that this was due to random chance and the campaign would not lead to increased order value going forward.</w:t>
      </w:r>
      <w:r>
        <w:rPr>
          <w:rFonts w:ascii="Sans serif" w:hAnsi="Sans serif"/>
          <w:b/>
          <w:bCs/>
          <w:i w:val="false"/>
          <w:iCs w:val="false"/>
        </w:rPr>
        <w:t xml:space="preserve"> Bottom line, we are very confident that the kitchen item recommendation campaign will increase the average order value going forward, while we are not at all confident that the same would be true for the furniture item recommendation campaign.</w:t>
      </w:r>
    </w:p>
    <w:p>
      <w:pPr>
        <w:pStyle w:val="Normal"/>
        <w:jc w:val="both"/>
        <w:rPr>
          <w:rFonts w:ascii="Sans serif" w:hAnsi="Sans serif"/>
          <w:b/>
          <w:b/>
          <w:bCs/>
          <w:i w:val="false"/>
          <w:i w:val="false"/>
          <w:iCs w:val="false"/>
        </w:rPr>
      </w:pPr>
      <w:r>
        <w:rPr/>
      </w:r>
    </w:p>
    <w:tbl>
      <w:tblPr>
        <w:tblW w:w="9972" w:type="dxa"/>
        <w:jc w:val="left"/>
        <w:tblInd w:w="0" w:type="dxa"/>
        <w:tblBorders>
          <w:right w:val="single" w:sz="2" w:space="0" w:color="000000"/>
          <w:insideV w:val="single" w:sz="2" w:space="0" w:color="000000"/>
        </w:tblBorders>
        <w:tblCellMar>
          <w:top w:w="55" w:type="dxa"/>
          <w:left w:w="55" w:type="dxa"/>
          <w:bottom w:w="55" w:type="dxa"/>
          <w:right w:w="55" w:type="dxa"/>
        </w:tblCellMar>
      </w:tblPr>
      <w:tblGrid>
        <w:gridCol w:w="2493"/>
        <w:gridCol w:w="2493"/>
        <w:gridCol w:w="2493"/>
        <w:gridCol w:w="2493"/>
      </w:tblGrid>
      <w:tr>
        <w:trPr/>
        <w:tc>
          <w:tcPr>
            <w:tcW w:w="2493" w:type="dxa"/>
            <w:tcBorders>
              <w:right w:val="single" w:sz="2" w:space="0" w:color="000000"/>
              <w:insideV w:val="single" w:sz="2" w:space="0" w:color="000000"/>
            </w:tcBorders>
            <w:shd w:fill="auto" w:val="cle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tcBorders>
            <w:shd w:fill="E0DFFF" w:val="clear"/>
            <w:tcMar>
              <w:left w:w="54" w:type="dxa"/>
            </w:tcMar>
          </w:tcPr>
          <w:p>
            <w:pPr>
              <w:pStyle w:val="TableContents"/>
              <w:jc w:val="center"/>
              <w:rPr/>
            </w:pPr>
            <w:r>
              <w:rPr/>
              <w:t xml:space="preserve">Change in Average Order Value </w:t>
            </w:r>
          </w:p>
        </w:tc>
        <w:tc>
          <w:tcPr>
            <w:tcW w:w="2493" w:type="dxa"/>
            <w:tcBorders>
              <w:top w:val="single" w:sz="2" w:space="0" w:color="000000"/>
              <w:left w:val="single" w:sz="2" w:space="0" w:color="000000"/>
              <w:bottom w:val="single" w:sz="2" w:space="0" w:color="000000"/>
              <w:insideH w:val="single" w:sz="2" w:space="0" w:color="000000"/>
            </w:tcBorders>
            <w:shd w:fill="E0DFFF" w:val="clear"/>
            <w:tcMar>
              <w:left w:w="54" w:type="dxa"/>
            </w:tcMar>
          </w:tcPr>
          <w:p>
            <w:pPr>
              <w:pStyle w:val="TableContents"/>
              <w:jc w:val="center"/>
              <w:rPr/>
            </w:pPr>
            <w:r>
              <w:rPr/>
              <w:t>Average Order Value Lift</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center"/>
              <w:rPr/>
            </w:pPr>
            <w:r>
              <w:rPr/>
              <w:t>Change Is Statistically Significant?</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right"/>
              <w:rPr/>
            </w:pPr>
            <w:r>
              <w:rPr/>
              <w:t>Kitchen Item Recommendation</w:t>
            </w:r>
          </w:p>
        </w:tc>
        <w:tc>
          <w:tcPr>
            <w:tcW w:w="2493"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+$0.64</w:t>
            </w:r>
          </w:p>
        </w:tc>
        <w:tc>
          <w:tcPr>
            <w:tcW w:w="2493"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+0.55%</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TableContents"/>
              <w:jc w:val="center"/>
              <w:rPr>
                <w:b/>
                <w:b/>
                <w:bCs/>
                <w:color w:val="006C3B"/>
              </w:rPr>
            </w:pPr>
            <w:r>
              <w:rPr>
                <w:b/>
                <w:bCs/>
                <w:color w:val="006C3B"/>
              </w:rPr>
              <w:t>Yes</w:t>
            </w:r>
          </w:p>
        </w:tc>
      </w:tr>
      <w:tr>
        <w:trPr/>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right"/>
              <w:rPr/>
            </w:pPr>
            <w:r>
              <w:rPr/>
              <w:t>Furniture Item Recommendation</w:t>
            </w:r>
          </w:p>
        </w:tc>
        <w:tc>
          <w:tcPr>
            <w:tcW w:w="2493"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+$1.54</w:t>
            </w:r>
          </w:p>
        </w:tc>
        <w:tc>
          <w:tcPr>
            <w:tcW w:w="2493"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+1.35%</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TableContents"/>
              <w:jc w:val="center"/>
              <w:rPr>
                <w:b/>
                <w:b/>
                <w:bCs/>
                <w:color w:val="BA131A"/>
              </w:rPr>
            </w:pPr>
            <w:r>
              <w:rPr>
                <w:b/>
                <w:bCs/>
                <w:color w:val="BA131A"/>
              </w:rPr>
              <w:t>No</w:t>
            </w:r>
          </w:p>
        </w:tc>
      </w:tr>
    </w:tbl>
    <w:p>
      <w:pPr>
        <w:pStyle w:val="Normal"/>
        <w:jc w:val="both"/>
        <w:rPr>
          <w:b/>
          <w:b/>
          <w:bCs/>
          <w:i w:val="false"/>
          <w:i w:val="false"/>
          <w:iCs w:val="false"/>
        </w:rPr>
      </w:pPr>
      <w:r>
        <w:rPr>
          <w:b/>
          <w:bCs/>
          <w:i w:val="false"/>
          <w:iCs w:val="false"/>
        </w:rPr>
      </w:r>
    </w:p>
    <w:p>
      <w:pPr>
        <w:pStyle w:val="Normal"/>
        <w:jc w:val="both"/>
        <w:rPr/>
      </w:pPr>
      <w:r>
        <w:rPr>
          <w:rFonts w:ascii="Sans serif" w:hAnsi="Sans serif"/>
          <w:b w:val="false"/>
          <w:bCs w:val="false"/>
          <w:i w:val="false"/>
          <w:iCs w:val="false"/>
        </w:rPr>
        <w:t xml:space="preserve">Both campaigns were found to have a much higher click-through rate than the 2% or less found in previous attempts at creating engagement with HomeCo’s online store. To be precise, customers shown the kitchen item clicked through 16.47% of the time, while customers shown the furniture item did so just 15.40% of the time. </w:t>
      </w:r>
      <w:r>
        <w:rPr>
          <w:rFonts w:ascii="Sans serif" w:hAnsi="Sans serif"/>
          <w:b/>
          <w:bCs/>
          <w:i w:val="false"/>
          <w:iCs w:val="false"/>
        </w:rPr>
        <w:t>These high click-through rates suggest that displaying these recommendations will increase customer engagement with HomeCo’s website and are less likely to result in over-messaging that leads customers to disengage.</w:t>
      </w:r>
    </w:p>
    <w:p>
      <w:pPr>
        <w:pStyle w:val="Normal"/>
        <w:jc w:val="both"/>
        <w:rPr>
          <w:rFonts w:ascii="Sans serif" w:hAnsi="Sans serif"/>
          <w:b/>
          <w:b/>
          <w:bCs/>
          <w:i w:val="false"/>
          <w:i w:val="false"/>
          <w:iCs w:val="false"/>
        </w:rPr>
      </w:pPr>
      <w:r>
        <w:rPr/>
      </w:r>
    </w:p>
    <w:p>
      <w:pPr>
        <w:pStyle w:val="Normal"/>
        <w:jc w:val="both"/>
        <w:rPr>
          <w:rFonts w:ascii="Sans serif" w:hAnsi="Sans serif"/>
          <w:b/>
          <w:b/>
          <w:bCs/>
          <w:i w:val="false"/>
          <w:i w:val="false"/>
          <w:iCs w:val="false"/>
        </w:rPr>
      </w:pPr>
      <w:r>
        <w:rPr/>
      </w:r>
    </w:p>
    <w:p>
      <w:pPr>
        <w:pStyle w:val="Normal"/>
        <w:jc w:val="both"/>
        <w:rPr>
          <w:rFonts w:ascii="Sans serif" w:hAnsi="Sans serif"/>
          <w:b/>
          <w:b/>
          <w:bCs/>
          <w:i w:val="false"/>
          <w:i w:val="false"/>
          <w:iCs w:val="false"/>
        </w:rPr>
      </w:pPr>
      <w:r>
        <w:rPr/>
      </w:r>
    </w:p>
    <w:p>
      <w:pPr>
        <w:pStyle w:val="Normal"/>
        <w:jc w:val="both"/>
        <w:rPr>
          <w:rFonts w:ascii="Sans serif" w:hAnsi="Sans serif"/>
          <w:b/>
          <w:b/>
          <w:bCs/>
          <w:i w:val="false"/>
          <w:i w:val="false"/>
          <w:iCs w:val="false"/>
        </w:rPr>
      </w:pPr>
      <w:r>
        <w:rPr/>
        <w:drawing>
          <wp:inline distT="0" distB="0" distL="0" distR="0">
            <wp:extent cx="5756910" cy="290322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b w:val="false"/>
          <w:b w:val="false"/>
          <w:bCs w:val="false"/>
          <w:i w:val="false"/>
          <w:i w:val="false"/>
          <w:iCs w:val="false"/>
        </w:rPr>
      </w:pPr>
      <w:r>
        <w:rPr>
          <w:b w:val="false"/>
          <w:bCs w:val="false"/>
          <w:i w:val="false"/>
          <w:iCs w:val="false"/>
        </w:rPr>
      </w:r>
    </w:p>
    <w:p>
      <w:pPr>
        <w:pStyle w:val="Normal"/>
        <w:jc w:val="both"/>
        <w:rPr/>
      </w:pPr>
      <w:r>
        <w:rPr>
          <w:rFonts w:ascii="Sans serif" w:hAnsi="Sans serif"/>
          <w:b w:val="false"/>
          <w:bCs w:val="false"/>
          <w:i w:val="false"/>
          <w:iCs w:val="false"/>
        </w:rPr>
        <w:t xml:space="preserve">We also looked at the Revenue Per Session Lift, or RPS Lift, of each campaign. This metric shows the percentage increase in revenue per session for the group selected to see the recommendation over the group selected to not see a recommendation, </w:t>
      </w:r>
      <w:r>
        <w:rPr>
          <w:rFonts w:ascii="Sans serif" w:hAnsi="Sans serif"/>
          <w:b w:val="false"/>
          <w:bCs w:val="false"/>
          <w:i w:val="false"/>
          <w:iCs w:val="false"/>
        </w:rPr>
        <w:t>including those</w:t>
      </w:r>
      <w:r>
        <w:rPr>
          <w:rFonts w:ascii="Sans serif" w:hAnsi="Sans serif"/>
          <w:b w:val="false"/>
          <w:bCs w:val="false"/>
          <w:i w:val="false"/>
          <w:iCs w:val="false"/>
        </w:rPr>
        <w:t xml:space="preserve"> shoppers </w:t>
      </w:r>
      <w:r>
        <w:rPr>
          <w:rFonts w:ascii="Sans serif" w:hAnsi="Sans serif"/>
          <w:b w:val="false"/>
          <w:bCs w:val="false"/>
          <w:i w:val="false"/>
          <w:iCs w:val="false"/>
        </w:rPr>
        <w:t>who</w:t>
      </w:r>
      <w:r>
        <w:rPr>
          <w:rFonts w:ascii="Sans serif" w:hAnsi="Sans serif"/>
          <w:b w:val="false"/>
          <w:bCs w:val="false"/>
          <w:i w:val="false"/>
          <w:iCs w:val="false"/>
        </w:rPr>
        <w:t xml:space="preserve"> did not put any kitchen items in their cart and so never had the opportunity to see a recommendation. This metric is a good way to </w:t>
      </w:r>
      <w:r>
        <w:rPr>
          <w:rFonts w:ascii="Sans serif" w:hAnsi="Sans serif"/>
          <w:b w:val="false"/>
          <w:bCs w:val="false"/>
          <w:i w:val="false"/>
          <w:iCs w:val="false"/>
        </w:rPr>
        <w:t xml:space="preserve">assess how each campaign </w:t>
      </w:r>
      <w:r>
        <w:rPr>
          <w:rFonts w:ascii="Sans serif" w:hAnsi="Sans serif"/>
          <w:b w:val="false"/>
          <w:bCs w:val="false"/>
          <w:i w:val="false"/>
          <w:iCs w:val="false"/>
        </w:rPr>
        <w:t>would affect revenue from the online store.</w:t>
      </w:r>
    </w:p>
    <w:p>
      <w:pPr>
        <w:pStyle w:val="Normal"/>
        <w:jc w:val="both"/>
        <w:rPr>
          <w:b w:val="false"/>
          <w:b w:val="false"/>
          <w:bCs w:val="false"/>
          <w:i w:val="false"/>
          <w:i w:val="false"/>
          <w:iCs w:val="false"/>
        </w:rPr>
      </w:pPr>
      <w:r>
        <w:rPr>
          <w:b w:val="false"/>
          <w:bCs w:val="false"/>
          <w:i w:val="false"/>
          <w:iCs w:val="false"/>
        </w:rPr>
      </w:r>
    </w:p>
    <w:p>
      <w:pPr>
        <w:pStyle w:val="Normal"/>
        <w:jc w:val="both"/>
        <w:rPr>
          <w:rFonts w:ascii="Sans serif" w:hAnsi="Sans serif"/>
        </w:rPr>
      </w:pPr>
      <w:r>
        <w:rPr>
          <w:rFonts w:ascii="Sans serif" w:hAnsi="Sans serif"/>
          <w:b w:val="false"/>
          <w:bCs w:val="false"/>
          <w:i w:val="false"/>
          <w:iCs w:val="false"/>
        </w:rPr>
        <w:t xml:space="preserve">The RPS Lift for the kitchen item recommendation campaign was 3.11%, while for the furniture item recommendation campaign it was 2.84%. </w:t>
      </w:r>
      <w:r>
        <w:rPr>
          <w:rFonts w:ascii="Sans serif" w:hAnsi="Sans serif"/>
          <w:b/>
          <w:bCs/>
          <w:i w:val="false"/>
          <w:iCs w:val="false"/>
        </w:rPr>
        <w:t>Both campaigns increased average revenue per session for customers who put a kitchen item in their cart, but the kitchen item recommendation campaign led to a slightly higher increase.</w:t>
      </w:r>
    </w:p>
    <w:p>
      <w:pPr>
        <w:pStyle w:val="Normal"/>
        <w:jc w:val="both"/>
        <w:rPr>
          <w:b/>
          <w:b/>
          <w:bCs/>
          <w:i w:val="false"/>
          <w:i w:val="false"/>
          <w:iCs w:val="false"/>
        </w:rPr>
      </w:pPr>
      <w:r>
        <w:rPr>
          <w:b/>
          <w:bCs/>
          <w:i w:val="false"/>
          <w:iCs w:val="false"/>
        </w:rPr>
      </w:r>
    </w:p>
    <w:p>
      <w:pPr>
        <w:pStyle w:val="Normal"/>
        <w:jc w:val="both"/>
        <w:rPr/>
      </w:pPr>
      <w:r>
        <w:rPr>
          <w:rFonts w:ascii="Sans serif" w:hAnsi="Sans serif"/>
          <w:b w:val="false"/>
          <w:bCs w:val="false"/>
          <w:i w:val="false"/>
          <w:iCs w:val="false"/>
        </w:rPr>
        <w:t>We also calculated the Conversion Rate Lift, or CVR Lift, for each campaign. This measures how much a campaign increased the odds that a customer session would end with a purchase. The furniture item recommendation increased the conversion rate by 2.2</w:t>
      </w:r>
      <w:r>
        <w:rPr>
          <w:rFonts w:ascii="Sans serif" w:hAnsi="Sans serif"/>
          <w:b w:val="false"/>
          <w:bCs w:val="false"/>
          <w:i w:val="false"/>
          <w:iCs w:val="false"/>
        </w:rPr>
        <w:t>0</w:t>
      </w:r>
      <w:r>
        <w:rPr>
          <w:rFonts w:ascii="Sans serif" w:hAnsi="Sans serif"/>
          <w:b w:val="false"/>
          <w:bCs w:val="false"/>
          <w:i w:val="false"/>
          <w:iCs w:val="false"/>
        </w:rPr>
        <w:t xml:space="preserve">%, while the kitchen item recommendation increased the conversion rate by just 0.61%. </w:t>
      </w:r>
      <w:r>
        <w:rPr>
          <w:rFonts w:ascii="Sans serif" w:hAnsi="Sans serif"/>
          <w:b/>
          <w:bCs/>
          <w:i w:val="false"/>
          <w:iCs w:val="false"/>
        </w:rPr>
        <w:t>B</w:t>
      </w:r>
      <w:r>
        <w:rPr>
          <w:rFonts w:ascii="Sans serif" w:hAnsi="Sans serif"/>
          <w:b/>
          <w:bCs/>
          <w:i w:val="false"/>
          <w:iCs w:val="false"/>
        </w:rPr>
        <w:t>oth campaigns increased the conversation rate, but the increase was higher for the furniture item recommendation.</w:t>
      </w:r>
    </w:p>
    <w:p>
      <w:pPr>
        <w:pStyle w:val="Normal"/>
        <w:jc w:val="both"/>
        <w:rPr>
          <w:rFonts w:ascii="Sans serif" w:hAnsi="Sans serif"/>
          <w:b/>
          <w:b/>
          <w:bCs/>
          <w:i w:val="false"/>
          <w:i w:val="false"/>
          <w:iCs w:val="false"/>
        </w:rPr>
      </w:pPr>
      <w:r>
        <w:rPr/>
      </w:r>
    </w:p>
    <w:p>
      <w:pPr>
        <w:pStyle w:val="Normal"/>
        <w:jc w:val="both"/>
        <w:rPr/>
      </w:pPr>
      <w:r>
        <w:rPr/>
      </w:r>
    </w:p>
    <w:tbl>
      <w:tblPr>
        <w:tblW w:w="9972" w:type="dxa"/>
        <w:jc w:val="left"/>
        <w:tblInd w:w="0" w:type="dxa"/>
        <w:tblBorders>
          <w:right w:val="single" w:sz="2" w:space="0" w:color="000000"/>
          <w:insideV w:val="single" w:sz="2" w:space="0" w:color="000000"/>
        </w:tblBorders>
        <w:tblCellMar>
          <w:top w:w="55" w:type="dxa"/>
          <w:left w:w="55" w:type="dxa"/>
          <w:bottom w:w="55" w:type="dxa"/>
          <w:right w:w="55" w:type="dxa"/>
        </w:tblCellMar>
      </w:tblPr>
      <w:tblGrid>
        <w:gridCol w:w="2493"/>
        <w:gridCol w:w="3739"/>
        <w:gridCol w:w="3740"/>
      </w:tblGrid>
      <w:tr>
        <w:trPr/>
        <w:tc>
          <w:tcPr>
            <w:tcW w:w="2493" w:type="dxa"/>
            <w:tcBorders>
              <w:right w:val="single" w:sz="2" w:space="0" w:color="000000"/>
              <w:insideV w:val="single" w:sz="2" w:space="0" w:color="000000"/>
            </w:tcBorders>
            <w:shd w:fill="auto" w:val="clear"/>
          </w:tcPr>
          <w:p>
            <w:pPr>
              <w:pStyle w:val="TableContents"/>
              <w:rPr/>
            </w:pPr>
            <w:r>
              <w:rPr/>
            </w:r>
          </w:p>
        </w:tc>
        <w:tc>
          <w:tcPr>
            <w:tcW w:w="3739" w:type="dxa"/>
            <w:tcBorders>
              <w:top w:val="single" w:sz="2" w:space="0" w:color="000000"/>
              <w:left w:val="single" w:sz="2" w:space="0" w:color="000000"/>
              <w:bottom w:val="single" w:sz="2" w:space="0" w:color="000000"/>
              <w:insideH w:val="single" w:sz="2" w:space="0" w:color="000000"/>
            </w:tcBorders>
            <w:shd w:fill="E0DFFF" w:val="clear"/>
            <w:tcMar>
              <w:left w:w="54" w:type="dxa"/>
            </w:tcMar>
          </w:tcPr>
          <w:p>
            <w:pPr>
              <w:pStyle w:val="TableContents"/>
              <w:jc w:val="center"/>
              <w:rPr/>
            </w:pPr>
            <w:r>
              <w:rPr/>
              <w:t>Revenue Per Session Lift</w:t>
            </w:r>
          </w:p>
        </w:tc>
        <w:tc>
          <w:tcPr>
            <w:tcW w:w="3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center"/>
              <w:rPr/>
            </w:pPr>
            <w:r>
              <w:rPr/>
              <w:t>Conversion Rate Lift</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right"/>
              <w:rPr/>
            </w:pPr>
            <w:r>
              <w:rPr/>
              <w:t>Kitchen Item Recommendation</w:t>
            </w:r>
          </w:p>
        </w:tc>
        <w:tc>
          <w:tcPr>
            <w:tcW w:w="3739"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w:t>
            </w:r>
            <w:r>
              <w:rPr>
                <w:b/>
                <w:bCs/>
                <w:color w:val="006C3B"/>
              </w:rPr>
              <w:t>3.11%</w:t>
            </w:r>
          </w:p>
        </w:tc>
        <w:tc>
          <w:tcPr>
            <w:tcW w:w="3740"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TableContents"/>
              <w:jc w:val="center"/>
              <w:rPr>
                <w:b/>
                <w:b/>
                <w:bCs/>
                <w:color w:val="006C3B"/>
              </w:rPr>
            </w:pPr>
            <w:r>
              <w:rPr>
                <w:b/>
                <w:bCs/>
                <w:color w:val="006C3B"/>
              </w:rPr>
              <w:t>+</w:t>
            </w:r>
            <w:r>
              <w:rPr>
                <w:b/>
                <w:bCs/>
                <w:color w:val="006C3B"/>
              </w:rPr>
              <w:t>0.61%</w:t>
            </w:r>
          </w:p>
        </w:tc>
      </w:tr>
      <w:tr>
        <w:trPr/>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E0DFFF" w:val="clear"/>
            <w:tcMar>
              <w:left w:w="54" w:type="dxa"/>
            </w:tcMar>
          </w:tcPr>
          <w:p>
            <w:pPr>
              <w:pStyle w:val="TableContents"/>
              <w:jc w:val="right"/>
              <w:rPr/>
            </w:pPr>
            <w:r>
              <w:rPr/>
              <w:t>Furniture Item Recommendation</w:t>
            </w:r>
          </w:p>
        </w:tc>
        <w:tc>
          <w:tcPr>
            <w:tcW w:w="3739" w:type="dxa"/>
            <w:tcBorders>
              <w:left w:val="single" w:sz="2" w:space="0" w:color="000000"/>
              <w:bottom w:val="single" w:sz="2" w:space="0" w:color="000000"/>
              <w:insideH w:val="single" w:sz="2" w:space="0" w:color="000000"/>
            </w:tcBorders>
            <w:shd w:fill="EEEEEE" w:val="clear"/>
            <w:tcMar>
              <w:left w:w="54" w:type="dxa"/>
            </w:tcMar>
            <w:vAlign w:val="center"/>
          </w:tcPr>
          <w:p>
            <w:pPr>
              <w:pStyle w:val="TableContents"/>
              <w:jc w:val="center"/>
              <w:rPr>
                <w:b/>
                <w:b/>
                <w:bCs/>
                <w:color w:val="006C3B"/>
              </w:rPr>
            </w:pPr>
            <w:r>
              <w:rPr>
                <w:b/>
                <w:bCs/>
                <w:color w:val="006C3B"/>
              </w:rPr>
              <w:t>+</w:t>
            </w:r>
            <w:r>
              <w:rPr>
                <w:b/>
                <w:bCs/>
                <w:color w:val="006C3B"/>
              </w:rPr>
              <w:t>2.84%</w:t>
            </w:r>
          </w:p>
        </w:tc>
        <w:tc>
          <w:tcPr>
            <w:tcW w:w="3740"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TableContents"/>
              <w:jc w:val="center"/>
              <w:rPr>
                <w:b/>
                <w:b/>
                <w:bCs/>
                <w:color w:val="006C3B"/>
              </w:rPr>
            </w:pPr>
            <w:r>
              <w:rPr>
                <w:b/>
                <w:bCs/>
                <w:color w:val="006C3B"/>
              </w:rPr>
              <w:t>+</w:t>
            </w:r>
            <w:r>
              <w:rPr>
                <w:b/>
                <w:bCs/>
                <w:color w:val="006C3B"/>
              </w:rPr>
              <w:t>2.20%</w:t>
            </w:r>
          </w:p>
        </w:tc>
      </w:tr>
    </w:tbl>
    <w:p>
      <w:pPr>
        <w:pStyle w:val="Normal"/>
        <w:jc w:val="both"/>
        <w:rPr>
          <w:b/>
          <w:b/>
          <w:bCs/>
          <w:i w:val="false"/>
          <w:i w:val="false"/>
          <w:iCs w:val="false"/>
        </w:rPr>
      </w:pPr>
      <w:r>
        <w:rPr>
          <w:b/>
          <w:bCs/>
          <w:i w:val="false"/>
          <w:iCs w:val="false"/>
        </w:rPr>
      </w:r>
    </w:p>
    <w:p>
      <w:pPr>
        <w:pStyle w:val="Normal"/>
        <w:jc w:val="both"/>
        <w:rPr/>
      </w:pPr>
      <w:r>
        <w:rPr>
          <w:rFonts w:ascii="Sans serif" w:hAnsi="Sans serif"/>
          <w:b w:val="false"/>
          <w:bCs w:val="false"/>
          <w:i w:val="false"/>
          <w:iCs w:val="false"/>
        </w:rPr>
        <w:t xml:space="preserve">Finally, we looked at the daily CVR Lift and RPS Lift for both sets of recommendations. The only finding of note here is that the CVR Lift </w:t>
      </w:r>
      <w:r>
        <w:rPr>
          <w:rFonts w:ascii="Sans serif" w:hAnsi="Sans serif"/>
          <w:b w:val="false"/>
          <w:bCs w:val="false"/>
          <w:i w:val="false"/>
          <w:iCs w:val="false"/>
        </w:rPr>
        <w:t>and RPS Lift</w:t>
      </w:r>
      <w:r>
        <w:rPr>
          <w:rFonts w:ascii="Sans serif" w:hAnsi="Sans serif"/>
          <w:b w:val="false"/>
          <w:bCs w:val="false"/>
          <w:i w:val="false"/>
          <w:iCs w:val="false"/>
        </w:rPr>
        <w:t xml:space="preserve"> for both campaigns was not consistently positive on a daily basis, </w:t>
      </w:r>
      <w:r>
        <w:rPr>
          <w:rFonts w:ascii="Sans serif" w:hAnsi="Sans serif"/>
          <w:b w:val="false"/>
          <w:bCs w:val="false"/>
          <w:i w:val="false"/>
          <w:iCs w:val="false"/>
        </w:rPr>
        <w:t>despite being positive for the month as whole.</w:t>
      </w:r>
      <w:r>
        <w:rPr>
          <w:rFonts w:ascii="Sans serif" w:hAnsi="Sans serif"/>
          <w:b w:val="false"/>
          <w:bCs w:val="false"/>
          <w:i w:val="false"/>
          <w:iCs w:val="false"/>
        </w:rPr>
        <w:t xml:space="preserve"> As we said above, some random variation on this metric is to be expected, especially when we drill down to smaller timeframes, but of course ideally we’d like to see more consistency with this metric. </w:t>
      </w:r>
    </w:p>
    <w:p>
      <w:pPr>
        <w:pStyle w:val="Normal"/>
        <w:jc w:val="both"/>
        <w:rPr>
          <w:rFonts w:ascii="Sans serif" w:hAnsi="Sans serif"/>
          <w:b w:val="false"/>
          <w:b w:val="false"/>
          <w:bCs w:val="false"/>
          <w:i w:val="false"/>
          <w:i w:val="false"/>
          <w:iCs w:val="false"/>
        </w:rPr>
      </w:pPr>
      <w:r>
        <w:rPr/>
      </w:r>
    </w:p>
    <w:p>
      <w:pPr>
        <w:pStyle w:val="Normal"/>
        <w:jc w:val="both"/>
        <w:rPr>
          <w:i w:val="false"/>
          <w:i w:val="false"/>
          <w:iCs w:val="false"/>
        </w:rPr>
      </w:pPr>
      <w:r>
        <w:rPr>
          <w:i w:val="false"/>
          <w:iCs w:val="false"/>
        </w:rPr>
      </w:r>
    </w:p>
    <w:p>
      <w:pPr>
        <w:pStyle w:val="Normal"/>
        <w:jc w:val="both"/>
        <w:rPr>
          <w:rFonts w:ascii="Sans serif" w:hAnsi="Sans serif"/>
          <w:b/>
          <w:b/>
          <w:bCs/>
          <w:sz w:val="28"/>
          <w:szCs w:val="28"/>
        </w:rPr>
      </w:pPr>
      <w:r>
        <w:rPr>
          <w:rFonts w:ascii="Sans serif" w:hAnsi="Sans serif"/>
          <w:b/>
          <w:bCs/>
          <w:i w:val="false"/>
          <w:iCs w:val="false"/>
          <w:sz w:val="28"/>
          <w:szCs w:val="28"/>
        </w:rPr>
        <w:t>Recommendations</w:t>
      </w:r>
    </w:p>
    <w:p>
      <w:pPr>
        <w:pStyle w:val="Normal"/>
        <w:jc w:val="both"/>
        <w:rPr>
          <w:rFonts w:ascii="Sans serif" w:hAnsi="Sans serif"/>
          <w:b w:val="false"/>
          <w:b w:val="false"/>
          <w:bCs w:val="false"/>
          <w:sz w:val="28"/>
          <w:szCs w:val="28"/>
        </w:rPr>
      </w:pPr>
      <w:r>
        <w:rPr>
          <w:rFonts w:ascii="Sans serif" w:hAnsi="Sans serif"/>
          <w:b w:val="false"/>
          <w:bCs w:val="false"/>
          <w:sz w:val="28"/>
          <w:szCs w:val="28"/>
        </w:rPr>
      </w:r>
    </w:p>
    <w:p>
      <w:pPr>
        <w:pStyle w:val="Normal"/>
        <w:jc w:val="both"/>
        <w:rPr/>
      </w:pPr>
      <w:r>
        <w:rPr>
          <w:rFonts w:ascii="Sans serif" w:hAnsi="Sans serif"/>
          <w:b w:val="false"/>
          <w:bCs w:val="false"/>
          <w:i w:val="false"/>
          <w:iCs w:val="false"/>
          <w:sz w:val="24"/>
          <w:szCs w:val="24"/>
        </w:rPr>
        <w:t>We recommend that HomeCo implement the kitchen item recommendation campaign. We can confidently say customers who were shown this recommendation had a higher order value on average, which we cannot say about the furniture item recommendation, and it was associated with an increase in revenue per session and the conversion rate. Furthermore, this campaign increased engagement with its high click-through rate. It’s very likely that implementing this campaign now will lead to more revenue and more lifetime customer value via higher engagement with the shopping experience.</w:t>
      </w:r>
    </w:p>
    <w:p>
      <w:pPr>
        <w:pStyle w:val="Normal"/>
        <w:jc w:val="both"/>
        <w:rPr>
          <w:i w:val="false"/>
          <w:i w:val="false"/>
          <w:iCs w:val="false"/>
        </w:rPr>
      </w:pPr>
      <w:r>
        <w:rPr>
          <w:i w:val="false"/>
          <w:iCs w:val="false"/>
        </w:rPr>
      </w:r>
    </w:p>
    <w:p>
      <w:pPr>
        <w:pStyle w:val="Normal"/>
        <w:jc w:val="both"/>
        <w:rPr>
          <w:rFonts w:ascii="Sans serif" w:hAnsi="Sans serif"/>
          <w:b w:val="false"/>
          <w:b w:val="false"/>
          <w:bCs w:val="false"/>
          <w:sz w:val="24"/>
          <w:szCs w:val="24"/>
        </w:rPr>
      </w:pPr>
      <w:r>
        <w:rPr>
          <w:rFonts w:ascii="Sans serif" w:hAnsi="Sans serif"/>
          <w:b w:val="false"/>
          <w:bCs w:val="false"/>
          <w:i w:val="false"/>
          <w:iCs w:val="false"/>
          <w:sz w:val="24"/>
          <w:szCs w:val="24"/>
        </w:rPr>
        <w:t>We know that HomeCo is concerned about reducing its risk going forward and wants to feel more confident in the performance of its online store, which is why we recommend the kitchen recommendation campaign over the furniture recommendation campaign. The furniture recommendation campaign would be more risky because there is a good chance the positive results we found for it in our tests would not repeat themselves going forward if it was implemented for all sessions.</w:t>
      </w:r>
    </w:p>
    <w:p>
      <w:pPr>
        <w:pStyle w:val="Normal"/>
        <w:jc w:val="both"/>
        <w:rPr>
          <w:i w:val="false"/>
          <w:i w:val="false"/>
          <w:iCs w:val="false"/>
        </w:rPr>
      </w:pPr>
      <w:r>
        <w:rPr>
          <w:i w:val="false"/>
          <w:iCs w:val="false"/>
        </w:rPr>
      </w:r>
    </w:p>
    <w:p>
      <w:pPr>
        <w:pStyle w:val="Normal"/>
        <w:jc w:val="both"/>
        <w:rPr/>
      </w:pPr>
      <w:r>
        <w:rPr>
          <w:rFonts w:ascii="Sans serif" w:hAnsi="Sans serif"/>
          <w:b w:val="false"/>
          <w:bCs w:val="false"/>
          <w:i w:val="false"/>
          <w:iCs w:val="false"/>
          <w:sz w:val="24"/>
          <w:szCs w:val="24"/>
        </w:rPr>
        <w:t xml:space="preserve">The only concern we have about the kitchen item recommendation campaign is that the daily change in the conversion rate and revenue per session was not consistently positive </w:t>
      </w:r>
      <w:r>
        <w:rPr>
          <w:rFonts w:ascii="Sans serif" w:hAnsi="Sans serif"/>
          <w:b w:val="false"/>
          <w:bCs w:val="false"/>
          <w:i w:val="false"/>
          <w:iCs w:val="false"/>
          <w:sz w:val="24"/>
          <w:szCs w:val="24"/>
        </w:rPr>
        <w:t>on all days</w:t>
      </w:r>
      <w:r>
        <w:rPr>
          <w:rFonts w:ascii="Sans serif" w:hAnsi="Sans serif"/>
          <w:b w:val="false"/>
          <w:bCs w:val="false"/>
          <w:i w:val="false"/>
          <w:iCs w:val="false"/>
          <w:sz w:val="24"/>
          <w:szCs w:val="24"/>
        </w:rPr>
        <w:t>, even though these were positive over the course of the whole month. We think this is likely just natural random variation and maintain our recommendation to implement the campaign regardless.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ans serif">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Campaign Click-Through Rates</a:t>
            </a:r>
          </a:p>
        </c:rich>
      </c:tx>
      <c:overlay val="0"/>
    </c:title>
    <c:autoTitleDeleted val="0"/>
    <c:plotArea>
      <c:barChart>
        <c:barDir val="col"/>
        <c:grouping val="clustered"/>
        <c:varyColors val="0"/>
        <c:ser>
          <c:idx val="0"/>
          <c:order val="0"/>
          <c:tx>
            <c:strRef>
              <c:f>label 0</c:f>
              <c:strCache>
                <c:ptCount val="1"/>
                <c:pt idx="0">
                  <c:v>Click-Through Rate</c:v>
                </c:pt>
              </c:strCache>
            </c:strRef>
          </c:tx>
          <c:spPr>
            <a:solidFill>
              <a:srgbClr val="5e8ac7"/>
            </a:solidFill>
            <a:ln>
              <a:noFill/>
            </a:ln>
          </c:spPr>
          <c:invertIfNegative val="0"/>
          <c:dLbls>
            <c:dLbl>
              <c:idx val="0"/>
              <c:showLegendKey val="0"/>
              <c:showVal val="1"/>
              <c:showCatName val="0"/>
              <c:showSerName val="0"/>
              <c:showPercent val="0"/>
            </c:dLbl>
            <c:dLbl>
              <c:idx val="1"/>
              <c:showLegendKey val="0"/>
              <c:showVal val="1"/>
              <c:showCatName val="0"/>
              <c:showSerName val="0"/>
              <c:showPercent val="0"/>
            </c:dLbl>
            <c:showLegendKey val="0"/>
            <c:showVal val="1"/>
            <c:showCatName val="0"/>
            <c:showSerName val="0"/>
            <c:showPercent val="0"/>
            <c:showLeaderLines val="0"/>
          </c:dLbls>
          <c:cat>
            <c:strRef>
              <c:f>categories</c:f>
              <c:strCache>
                <c:ptCount val="3"/>
                <c:pt idx="0">
                  <c:v>Previous Campaigns</c:v>
                </c:pt>
                <c:pt idx="1">
                  <c:v>Kitchen Item Rec.</c:v>
                </c:pt>
                <c:pt idx="2">
                  <c:v>Furniture Item Rec.</c:v>
                </c:pt>
              </c:strCache>
            </c:strRef>
          </c:cat>
          <c:val>
            <c:numRef>
              <c:f>0</c:f>
              <c:numCache>
                <c:formatCode>General</c:formatCode>
                <c:ptCount val="3"/>
                <c:pt idx="0">
                  <c:v>0.02</c:v>
                </c:pt>
                <c:pt idx="1">
                  <c:v>0.1647</c:v>
                </c:pt>
                <c:pt idx="2">
                  <c:v>0.154</c:v>
                </c:pt>
              </c:numCache>
            </c:numRef>
          </c:val>
        </c:ser>
        <c:gapWidth val="100"/>
        <c:overlap val="0"/>
        <c:axId val="33323564"/>
        <c:axId val="4553063"/>
      </c:barChart>
      <c:catAx>
        <c:axId val="33323564"/>
        <c:scaling>
          <c:orientation val="minMax"/>
        </c:scaling>
        <c:delete val="0"/>
        <c:axPos val="b"/>
        <c:numFmt formatCode="General" sourceLinked="0"/>
        <c:majorTickMark val="out"/>
        <c:minorTickMark val="none"/>
        <c:tickLblPos val="nextTo"/>
        <c:spPr>
          <a:ln>
            <a:solidFill>
              <a:srgbClr val="000000"/>
            </a:solidFill>
          </a:ln>
        </c:spPr>
        <c:txPr>
          <a:bodyPr/>
          <a:p>
            <a:pPr>
              <a:defRPr b="0" sz="1000" spc="-1" strike="noStrike">
                <a:latin typeface="Arial"/>
              </a:defRPr>
            </a:pPr>
          </a:p>
        </c:txPr>
        <c:crossAx val="4553063"/>
        <c:crossesAt val="0"/>
        <c:auto val="1"/>
        <c:lblAlgn val="ctr"/>
        <c:lblOffset val="100"/>
      </c:catAx>
      <c:valAx>
        <c:axId val="4553063"/>
        <c:scaling>
          <c:orientation val="minMax"/>
        </c:scaling>
        <c:delete val="0"/>
        <c:axPos val="l"/>
        <c:numFmt formatCode="0.00%" sourceLinked="0"/>
        <c:majorTickMark val="out"/>
        <c:minorTickMark val="none"/>
        <c:tickLblPos val="nextTo"/>
        <c:spPr>
          <a:ln>
            <a:solidFill>
              <a:srgbClr val="000000"/>
            </a:solidFill>
          </a:ln>
        </c:spPr>
        <c:txPr>
          <a:bodyPr/>
          <a:p>
            <a:pPr>
              <a:defRPr b="0" sz="1000" spc="-1" strike="noStrike">
                <a:latin typeface="Arial"/>
              </a:defRPr>
            </a:pPr>
          </a:p>
        </c:txPr>
        <c:crossAx val="33323564"/>
        <c:crossesAt val="1"/>
      </c:valAx>
      <c:spPr>
        <a:noFill/>
        <a:ln>
          <a:noFill/>
        </a:ln>
      </c:spPr>
    </c:plotArea>
    <c:plotVisOnly val="1"/>
    <c:dispBlanksAs val="gap"/>
  </c:chart>
  <c:spPr>
    <a:solidFill>
      <a:srgbClr val="eeeeee"/>
    </a:solidFill>
    <a:ln>
      <a:noFill/>
    </a:ln>
  </c:spPr>
</c:chartSpace>
</file>

<file path=docProps/app.xml><?xml version="1.0" encoding="utf-8"?>
<Properties xmlns="http://schemas.openxmlformats.org/officeDocument/2006/extended-properties" xmlns:vt="http://schemas.openxmlformats.org/officeDocument/2006/docPropsVTypes">
  <Template/>
  <TotalTime>71</TotalTime>
  <Application>LibreOffice/5.4.2.2$Windows_x86 LibreOffice_project/22b09f6418e8c2d508a9eaf86b2399209b0990f4</Application>
  <Pages>3</Pages>
  <Words>855</Words>
  <Characters>4544</Characters>
  <CharactersWithSpaces>5371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2022-12-29T15:06:39Z</dcterms:created>
  <dc:creator/>
  <dc:description/>
  <dc:language>en-US</dc:language>
  <cp:lastModifiedBy/>
  <dcterms:modified xsi:type="dcterms:W3CDTF">2022-12-30T12:07:15Z</dcterms:modified>
  <cp:revision>7</cp:revision>
  <dc:subject/>
  <dc:title/>
</cp:coreProperties>
</file>