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30472E">
        <w:rPr>
          <w:lang w:val="en-US"/>
        </w:rPr>
        <w:t>Health analyzer issues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30472E">
        <w:rPr>
          <w:lang w:val="en-US"/>
        </w:rPr>
        <w:t>Health Analyzer Issues</w:t>
      </w:r>
      <w:r w:rsidR="00F30AE7">
        <w:rPr>
          <w:lang w:val="en-US"/>
        </w:rPr>
        <w:t xml:space="preserve">”. The goal of this </w:t>
      </w:r>
      <w:r w:rsidR="00CB7336">
        <w:rPr>
          <w:lang w:val="en-US"/>
        </w:rPr>
        <w:t>work instruction</w:t>
      </w:r>
      <w:r w:rsidR="00CB7336">
        <w:rPr>
          <w:lang w:val="en-US"/>
        </w:rPr>
        <w:t xml:space="preserve"> </w:t>
      </w:r>
      <w:bookmarkStart w:id="0" w:name="_GoBack"/>
      <w:bookmarkEnd w:id="0"/>
      <w:r w:rsidR="00F30AE7">
        <w:rPr>
          <w:lang w:val="en-US"/>
        </w:rPr>
        <w:t xml:space="preserve">is to check if </w:t>
      </w:r>
      <w:r w:rsidR="009351FA">
        <w:rPr>
          <w:lang w:val="en-US"/>
        </w:rPr>
        <w:t>the SharePoint Health Analyzer has detected any issues and take corrective actions if required.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764"/>
        <w:gridCol w:w="5318"/>
      </w:tblGrid>
      <w:tr w:rsidR="00F30AE7" w:rsidTr="0093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4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318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CB7336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318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9351FA" w:rsidRPr="00CB7336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Open the Central Administration site</w:t>
            </w:r>
          </w:p>
        </w:tc>
        <w:tc>
          <w:tcPr>
            <w:tcW w:w="5318" w:type="dxa"/>
          </w:tcPr>
          <w:p w:rsidR="009351FA" w:rsidRPr="009351FA" w:rsidRDefault="009351FA" w:rsidP="009351FA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092FAB" wp14:editId="1276694C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351FA" w:rsidRPr="00CB7336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 3:</w:t>
            </w:r>
          </w:p>
          <w:p w:rsidR="009351FA" w:rsidRPr="008B51C8" w:rsidRDefault="009351FA" w:rsidP="009351FA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 xml:space="preserve">Go to </w:t>
            </w:r>
            <w:r w:rsidRPr="008B51C8">
              <w:rPr>
                <w:bCs/>
                <w:color w:val="auto"/>
                <w:lang w:val="en-US"/>
              </w:rPr>
              <w:t xml:space="preserve">“Monitoring” </w:t>
            </w:r>
            <w:r>
              <w:rPr>
                <w:bCs/>
                <w:color w:val="auto"/>
                <w:lang w:val="en-US"/>
              </w:rPr>
              <w:t xml:space="preserve">and under the section </w:t>
            </w:r>
            <w:r w:rsidRPr="008B51C8">
              <w:rPr>
                <w:bCs/>
                <w:color w:val="auto"/>
                <w:lang w:val="en-US"/>
              </w:rPr>
              <w:t xml:space="preserve">“Health Analyzer” </w:t>
            </w:r>
            <w:r>
              <w:rPr>
                <w:bCs/>
                <w:color w:val="auto"/>
                <w:lang w:val="en-US"/>
              </w:rPr>
              <w:t xml:space="preserve">click on </w:t>
            </w:r>
            <w:r w:rsidRPr="008B51C8">
              <w:rPr>
                <w:bCs/>
                <w:color w:val="auto"/>
                <w:lang w:val="en-US"/>
              </w:rPr>
              <w:t>“Review problems and solutions”</w:t>
            </w:r>
          </w:p>
        </w:tc>
        <w:tc>
          <w:tcPr>
            <w:tcW w:w="5318" w:type="dxa"/>
          </w:tcPr>
          <w:p w:rsidR="009351FA" w:rsidRPr="008B51C8" w:rsidRDefault="009351FA" w:rsidP="009351FA">
            <w:pPr>
              <w:rPr>
                <w:color w:val="auto"/>
                <w:lang w:val="en-US"/>
              </w:rPr>
            </w:pPr>
            <w:r w:rsidRPr="008B51C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F4E652" wp14:editId="2034E388">
                  <wp:simplePos x="3359150" y="48895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95678" cy="317516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678" cy="31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51FA" w:rsidRPr="00CB7336" w:rsidTr="009351FA">
        <w:tc>
          <w:tcPr>
            <w:tcW w:w="3764" w:type="dxa"/>
          </w:tcPr>
          <w:p w:rsidR="009351FA" w:rsidRPr="00CB7336" w:rsidRDefault="009351FA" w:rsidP="009351FA">
            <w:pPr>
              <w:rPr>
                <w:bCs/>
                <w:color w:val="auto"/>
                <w:lang w:val="en-US"/>
              </w:rPr>
            </w:pPr>
            <w:r w:rsidRPr="00CB7336">
              <w:rPr>
                <w:bCs/>
                <w:color w:val="auto"/>
                <w:lang w:val="en-US"/>
              </w:rPr>
              <w:t>Step 4: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Check if any issues are reported</w:t>
            </w:r>
            <w:r>
              <w:rPr>
                <w:bCs/>
                <w:color w:val="auto"/>
                <w:lang w:val="en-US"/>
              </w:rPr>
              <w:t xml:space="preserve"> that do not exist in the </w:t>
            </w:r>
            <w:r w:rsidRPr="009351FA">
              <w:rPr>
                <w:bCs/>
                <w:color w:val="auto"/>
                <w:lang w:val="en-US"/>
              </w:rPr>
              <w:t>“</w:t>
            </w:r>
            <w:r>
              <w:rPr>
                <w:bCs/>
                <w:color w:val="auto"/>
                <w:lang w:val="en-US"/>
              </w:rPr>
              <w:t xml:space="preserve">Allowed </w:t>
            </w:r>
            <w:r w:rsidRPr="009351FA">
              <w:rPr>
                <w:bCs/>
                <w:color w:val="auto"/>
                <w:lang w:val="en-US"/>
              </w:rPr>
              <w:t xml:space="preserve">Exceptions” </w:t>
            </w:r>
            <w:r>
              <w:rPr>
                <w:bCs/>
                <w:color w:val="auto"/>
                <w:lang w:val="en-US"/>
              </w:rPr>
              <w:t>list</w:t>
            </w:r>
            <w:r w:rsidRPr="009351FA">
              <w:rPr>
                <w:bCs/>
                <w:color w:val="auto"/>
                <w:lang w:val="en-US"/>
              </w:rPr>
              <w:t>.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If this is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for every issue, so the cause can be investigated.</w:t>
            </w:r>
          </w:p>
        </w:tc>
        <w:tc>
          <w:tcPr>
            <w:tcW w:w="5318" w:type="dxa"/>
          </w:tcPr>
          <w:p w:rsidR="009351FA" w:rsidRPr="009351FA" w:rsidRDefault="009351FA" w:rsidP="009351FA">
            <w:pPr>
              <w:rPr>
                <w:color w:val="auto"/>
                <w:lang w:val="en-US"/>
              </w:rPr>
            </w:pPr>
            <w:r w:rsidRPr="000A73B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2525AD2" wp14:editId="1C72ED6D">
                  <wp:simplePos x="1498600" y="60071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240000" cy="1058292"/>
                  <wp:effectExtent l="0" t="0" r="0" b="889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05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351FA" w:rsidRPr="00CB7336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 5: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318" w:type="dxa"/>
          </w:tcPr>
          <w:p w:rsidR="009351FA" w:rsidRPr="009351FA" w:rsidRDefault="009351FA" w:rsidP="009351FA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CB7336" w:rsidRDefault="00F30AE7" w:rsidP="0046598A">
      <w:pPr>
        <w:pStyle w:val="Heading1"/>
        <w:rPr>
          <w:lang w:val="en-US"/>
        </w:rPr>
      </w:pPr>
      <w:r w:rsidRPr="00CB7336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9351FA" w:rsidRPr="009351FA" w:rsidRDefault="009351FA" w:rsidP="009351FA">
      <w:pPr>
        <w:rPr>
          <w:lang w:val="en-US"/>
        </w:rPr>
      </w:pPr>
      <w:r w:rsidRPr="009351FA">
        <w:rPr>
          <w:lang w:val="en-US"/>
        </w:rPr>
        <w:t xml:space="preserve">To resolve any found issues, the issue </w:t>
      </w:r>
      <w:proofErr w:type="gramStart"/>
      <w:r w:rsidRPr="009351FA">
        <w:rPr>
          <w:lang w:val="en-US"/>
        </w:rPr>
        <w:t>has to</w:t>
      </w:r>
      <w:proofErr w:type="gramEnd"/>
      <w:r w:rsidRPr="009351FA">
        <w:rPr>
          <w:lang w:val="en-US"/>
        </w:rPr>
        <w:t xml:space="preserve"> be investigated. Depending on </w:t>
      </w:r>
      <w:r>
        <w:rPr>
          <w:lang w:val="en-US"/>
        </w:rPr>
        <w:t>the issue, different resolution steps</w:t>
      </w:r>
      <w:r w:rsidRPr="009351FA">
        <w:rPr>
          <w:lang w:val="en-US"/>
        </w:rPr>
        <w:t xml:space="preserve"> </w:t>
      </w:r>
      <w:r>
        <w:rPr>
          <w:lang w:val="en-US"/>
        </w:rPr>
        <w:t xml:space="preserve">will </w:t>
      </w:r>
      <w:r w:rsidRPr="009351FA">
        <w:rPr>
          <w:lang w:val="en-US"/>
        </w:rPr>
        <w:t>be required.</w:t>
      </w:r>
    </w:p>
    <w:p w:rsidR="0046598A" w:rsidRPr="009351FA" w:rsidRDefault="0046598A" w:rsidP="00F30AE7">
      <w:pPr>
        <w:rPr>
          <w:lang w:val="en-US"/>
        </w:rPr>
      </w:pPr>
    </w:p>
    <w:sectPr w:rsidR="0046598A" w:rsidRPr="009351FA" w:rsidSect="00B53324">
      <w:headerReference w:type="default" r:id="rId9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29B" w:rsidRDefault="0046629B" w:rsidP="0046598A">
      <w:pPr>
        <w:spacing w:after="0" w:line="240" w:lineRule="auto"/>
      </w:pPr>
      <w:r>
        <w:separator/>
      </w:r>
    </w:p>
  </w:endnote>
  <w:endnote w:type="continuationSeparator" w:id="0">
    <w:p w:rsidR="0046629B" w:rsidRDefault="0046629B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29B" w:rsidRDefault="0046629B" w:rsidP="0046598A">
      <w:pPr>
        <w:spacing w:after="0" w:line="240" w:lineRule="auto"/>
      </w:pPr>
      <w:r>
        <w:separator/>
      </w:r>
    </w:p>
  </w:footnote>
  <w:footnote w:type="continuationSeparator" w:id="0">
    <w:p w:rsidR="0046629B" w:rsidRDefault="0046629B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30472E">
      <w:rPr>
        <w:color w:val="2F5496" w:themeColor="accent1" w:themeShade="BF"/>
        <w:sz w:val="36"/>
      </w:rPr>
      <w:t>D10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30472E"/>
    <w:rsid w:val="00384CDC"/>
    <w:rsid w:val="0046598A"/>
    <w:rsid w:val="0046629B"/>
    <w:rsid w:val="00521179"/>
    <w:rsid w:val="00905103"/>
    <w:rsid w:val="009351FA"/>
    <w:rsid w:val="00941BE3"/>
    <w:rsid w:val="00980D75"/>
    <w:rsid w:val="00B53324"/>
    <w:rsid w:val="00BE1533"/>
    <w:rsid w:val="00C16D94"/>
    <w:rsid w:val="00C43681"/>
    <w:rsid w:val="00CB7336"/>
    <w:rsid w:val="00F3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96FC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2017-09-14T11:58:00Z</dcterms:created>
  <dcterms:modified xsi:type="dcterms:W3CDTF">2017-09-15T12:06:00Z</dcterms:modified>
</cp:coreProperties>
</file>