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2F0138">
        <w:rPr>
          <w:lang w:val="en-US"/>
        </w:rPr>
        <w:t>content database size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2F0138">
        <w:rPr>
          <w:lang w:val="en-US"/>
        </w:rPr>
        <w:t>Content Database Size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check </w:t>
      </w:r>
      <w:r w:rsidR="002F0138">
        <w:rPr>
          <w:lang w:val="en-US"/>
        </w:rPr>
        <w:t xml:space="preserve">the available site collection space for all content databases </w:t>
      </w:r>
      <w:r w:rsidR="00662559">
        <w:rPr>
          <w:lang w:val="en-US"/>
        </w:rPr>
        <w:t>in the environment</w:t>
      </w:r>
      <w:r w:rsidR="00BB4A09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526"/>
        <w:gridCol w:w="5556"/>
      </w:tblGrid>
      <w:tr w:rsidR="00F30AE7" w:rsidTr="0093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4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318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9351FA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</w:t>
            </w:r>
            <w:r w:rsidRPr="009351FA">
              <w:rPr>
                <w:rFonts w:cs="Calibri"/>
                <w:bCs/>
                <w:color w:val="auto"/>
                <w:lang w:val="en-US"/>
              </w:rPr>
              <w:t xml:space="preserve">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318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958D8" w:rsidRPr="001958D8" w:rsidTr="009351FA">
        <w:tc>
          <w:tcPr>
            <w:tcW w:w="3764" w:type="dxa"/>
          </w:tcPr>
          <w:p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</w:t>
            </w:r>
            <w:r w:rsidRPr="001958D8">
              <w:rPr>
                <w:rFonts w:cs="Calibri"/>
                <w:bCs/>
                <w:color w:val="auto"/>
                <w:lang w:val="en-US"/>
              </w:rPr>
              <w:t>p 2:</w:t>
            </w:r>
          </w:p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 xml:space="preserve">Open </w:t>
            </w:r>
            <w:r w:rsidRPr="001958D8">
              <w:rPr>
                <w:rFonts w:cs="Calibri"/>
                <w:bCs/>
                <w:color w:val="auto"/>
                <w:lang w:val="en-US"/>
              </w:rPr>
              <w:t>the</w:t>
            </w:r>
            <w:r w:rsidRPr="001958D8">
              <w:rPr>
                <w:rFonts w:cs="Calibri"/>
                <w:bCs/>
                <w:color w:val="auto"/>
                <w:lang w:val="en-US"/>
              </w:rPr>
              <w:t xml:space="preserve"> Central Administration site</w:t>
            </w:r>
          </w:p>
        </w:tc>
        <w:tc>
          <w:tcPr>
            <w:tcW w:w="5318" w:type="dxa"/>
          </w:tcPr>
          <w:p w:rsidR="001958D8" w:rsidRPr="001958D8" w:rsidRDefault="001958D8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C89C003" wp14:editId="1B97F062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F0138" w:rsidRPr="002F0138" w:rsidTr="009351FA">
        <w:tc>
          <w:tcPr>
            <w:tcW w:w="3764" w:type="dxa"/>
          </w:tcPr>
          <w:p w:rsidR="002F0138" w:rsidRPr="002F0138" w:rsidRDefault="002F0138" w:rsidP="002F0138">
            <w:pPr>
              <w:rPr>
                <w:bCs/>
                <w:color w:val="auto"/>
                <w:lang w:val="en-US"/>
              </w:rPr>
            </w:pPr>
            <w:r w:rsidRPr="002F0138">
              <w:rPr>
                <w:bCs/>
                <w:color w:val="auto"/>
                <w:lang w:val="en-US"/>
              </w:rPr>
              <w:t>Ste</w:t>
            </w:r>
            <w:r w:rsidRPr="002F0138">
              <w:rPr>
                <w:bCs/>
                <w:color w:val="auto"/>
                <w:lang w:val="en-US"/>
              </w:rPr>
              <w:t>p 3:</w:t>
            </w:r>
          </w:p>
          <w:p w:rsidR="002F0138" w:rsidRPr="002F0138" w:rsidRDefault="002F0138" w:rsidP="002F0138">
            <w:pPr>
              <w:rPr>
                <w:bCs/>
                <w:color w:val="auto"/>
                <w:lang w:val="en-US"/>
              </w:rPr>
            </w:pPr>
            <w:r w:rsidRPr="002F0138">
              <w:rPr>
                <w:bCs/>
                <w:color w:val="auto"/>
                <w:lang w:val="en-US"/>
              </w:rPr>
              <w:t xml:space="preserve">Browse to </w:t>
            </w:r>
            <w:r w:rsidRPr="002F0138">
              <w:rPr>
                <w:bCs/>
                <w:color w:val="auto"/>
                <w:lang w:val="en-US"/>
              </w:rPr>
              <w:t xml:space="preserve">“Application Management” </w:t>
            </w:r>
            <w:r w:rsidRPr="002F0138">
              <w:rPr>
                <w:bCs/>
                <w:color w:val="auto"/>
                <w:lang w:val="en-US"/>
              </w:rPr>
              <w:t xml:space="preserve">and under </w:t>
            </w:r>
            <w:r w:rsidRPr="002F0138">
              <w:rPr>
                <w:bCs/>
                <w:color w:val="auto"/>
                <w:lang w:val="en-US"/>
              </w:rPr>
              <w:t xml:space="preserve">“Databases” </w:t>
            </w:r>
            <w:r>
              <w:rPr>
                <w:bCs/>
                <w:color w:val="auto"/>
                <w:lang w:val="en-US"/>
              </w:rPr>
              <w:t xml:space="preserve">click </w:t>
            </w:r>
            <w:r w:rsidRPr="002F0138">
              <w:rPr>
                <w:bCs/>
                <w:color w:val="auto"/>
                <w:lang w:val="en-US"/>
              </w:rPr>
              <w:t>“Manage content databases”</w:t>
            </w:r>
          </w:p>
        </w:tc>
        <w:tc>
          <w:tcPr>
            <w:tcW w:w="5318" w:type="dxa"/>
          </w:tcPr>
          <w:p w:rsidR="002F0138" w:rsidRPr="002F0138" w:rsidRDefault="002F0138" w:rsidP="002F0138">
            <w:pPr>
              <w:rPr>
                <w:color w:val="auto"/>
                <w:lang w:val="en-US"/>
              </w:rPr>
            </w:pPr>
            <w:r w:rsidRPr="00AC2458">
              <w:rPr>
                <w:noProof/>
                <w:color w:val="auto"/>
              </w:rPr>
              <w:drawing>
                <wp:anchor distT="0" distB="0" distL="114300" distR="114300" simplePos="0" relativeHeight="251683840" behindDoc="0" locked="0" layoutInCell="1" allowOverlap="1" wp14:anchorId="261A3016" wp14:editId="55B38E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132715</wp:posOffset>
                  </wp:positionV>
                  <wp:extent cx="3390900" cy="324939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414" cy="32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B4A09" w:rsidRPr="009351FA" w:rsidTr="009351FA">
        <w:tc>
          <w:tcPr>
            <w:tcW w:w="3764" w:type="dxa"/>
          </w:tcPr>
          <w:p w:rsidR="00BB4A09" w:rsidRPr="0085749B" w:rsidRDefault="00BB4A09" w:rsidP="00BB4A09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62559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BB4A09" w:rsidRDefault="002F0138" w:rsidP="00BB4A09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Check if the difference between the “Warning” and “Maximum” limits are larger than 200 for all databases</w:t>
            </w:r>
            <w:r w:rsidR="00662559">
              <w:rPr>
                <w:bCs/>
                <w:color w:val="auto"/>
                <w:lang w:val="en-US"/>
              </w:rPr>
              <w:t>.</w:t>
            </w:r>
          </w:p>
          <w:p w:rsidR="002F0138" w:rsidRDefault="002F0138" w:rsidP="00BB4A09">
            <w:pPr>
              <w:rPr>
                <w:bCs/>
                <w:color w:val="auto"/>
                <w:lang w:val="en-US"/>
              </w:rPr>
            </w:pPr>
          </w:p>
          <w:p w:rsidR="002F0138" w:rsidRDefault="002F0138" w:rsidP="00BB4A09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Only exception is when the “Maximum” limit is smaller than 10 and the difference is 0.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 xml:space="preserve"> 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</w:t>
            </w:r>
            <w:r w:rsidRPr="009351FA">
              <w:rPr>
                <w:bCs/>
                <w:color w:val="auto"/>
                <w:lang w:val="en-US"/>
              </w:rPr>
              <w:t xml:space="preserve">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corrected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318" w:type="dxa"/>
          </w:tcPr>
          <w:p w:rsidR="00BB4A09" w:rsidRPr="009351FA" w:rsidRDefault="002F0138" w:rsidP="00BB4A09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8C9FA48" wp14:editId="17936DE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2705100" cy="744349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74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B4A09" w:rsidRPr="009351FA" w:rsidTr="009351FA">
        <w:tc>
          <w:tcPr>
            <w:tcW w:w="3764" w:type="dxa"/>
          </w:tcPr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B45DD1">
              <w:rPr>
                <w:bCs/>
                <w:color w:val="auto"/>
                <w:lang w:val="en-US"/>
              </w:rPr>
              <w:t xml:space="preserve"> 5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318" w:type="dxa"/>
          </w:tcPr>
          <w:p w:rsidR="00BB4A09" w:rsidRPr="009351FA" w:rsidRDefault="00BB4A09" w:rsidP="00BB4A09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Default="00F30AE7" w:rsidP="0046598A">
      <w:pPr>
        <w:pStyle w:val="Heading1"/>
      </w:pPr>
      <w: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>This check is part of the Periodic</w:t>
      </w:r>
      <w:r w:rsidRPr="00F30AE7">
        <w:rPr>
          <w:lang w:val="en-US"/>
        </w:rPr>
        <w:t xml:space="preserve"> </w:t>
      </w:r>
      <w:r w:rsidRPr="00F30AE7">
        <w:rPr>
          <w:lang w:val="en-US"/>
        </w:rPr>
        <w:t xml:space="preserve">Checks </w:t>
      </w:r>
      <w:r w:rsidRPr="00F30AE7">
        <w:rPr>
          <w:lang w:val="en-US"/>
        </w:rPr>
        <w:t xml:space="preserve">script, </w:t>
      </w:r>
      <w:r w:rsidRPr="00F30AE7">
        <w:rPr>
          <w:lang w:val="en-US"/>
        </w:rPr>
        <w:t xml:space="preserve">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 xml:space="preserve">. </w:t>
      </w:r>
      <w:r w:rsidRPr="00F30AE7">
        <w:rPr>
          <w:lang w:val="en-US"/>
        </w:rPr>
        <w:t xml:space="preserve">Analysis will take place by reviewing the </w:t>
      </w:r>
      <w:r w:rsidRPr="00F30AE7">
        <w:rPr>
          <w:lang w:val="en-US"/>
        </w:rPr>
        <w:t>gener</w:t>
      </w:r>
      <w:r w:rsidRPr="00F30AE7">
        <w:rPr>
          <w:lang w:val="en-US"/>
        </w:rPr>
        <w:t>ated e-</w:t>
      </w:r>
      <w:r w:rsidRPr="00F30AE7">
        <w:rPr>
          <w:lang w:val="en-US"/>
        </w:rPr>
        <w:t xml:space="preserve">mail </w:t>
      </w:r>
      <w:r w:rsidRPr="00F30AE7">
        <w:rPr>
          <w:lang w:val="en-US"/>
        </w:rPr>
        <w:t>and taking actions if issues are reported</w:t>
      </w:r>
      <w:r w:rsidRPr="00F30AE7">
        <w:rPr>
          <w:lang w:val="en-US"/>
        </w:rPr>
        <w:t>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B45DD1" w:rsidRPr="00B45DD1" w:rsidRDefault="00B45DD1" w:rsidP="00B45DD1">
      <w:pPr>
        <w:rPr>
          <w:lang w:val="en-US"/>
        </w:rPr>
      </w:pPr>
      <w:r w:rsidRPr="00B45DD1">
        <w:rPr>
          <w:lang w:val="en-US"/>
        </w:rPr>
        <w:t>If databases are found with too little space for new site collections, two actions can be taken</w:t>
      </w:r>
      <w:r w:rsidRPr="00B45DD1">
        <w:rPr>
          <w:lang w:val="en-US"/>
        </w:rPr>
        <w:t>:</w:t>
      </w:r>
    </w:p>
    <w:p w:rsidR="00B45DD1" w:rsidRDefault="00B45DD1" w:rsidP="00B45DD1">
      <w:pPr>
        <w:pStyle w:val="ListParagraph"/>
        <w:numPr>
          <w:ilvl w:val="0"/>
          <w:numId w:val="2"/>
        </w:numPr>
      </w:pPr>
      <w:r>
        <w:lastRenderedPageBreak/>
        <w:t>Extend the Maximum limi</w:t>
      </w:r>
      <w:r>
        <w:t>t</w:t>
      </w:r>
    </w:p>
    <w:p w:rsidR="00B45DD1" w:rsidRPr="00B45DD1" w:rsidRDefault="00B45DD1" w:rsidP="00B45DD1">
      <w:pPr>
        <w:pStyle w:val="ListParagraph"/>
        <w:numPr>
          <w:ilvl w:val="0"/>
          <w:numId w:val="2"/>
        </w:numPr>
        <w:rPr>
          <w:lang w:val="en-US"/>
        </w:rPr>
      </w:pPr>
      <w:r w:rsidRPr="00B45DD1">
        <w:rPr>
          <w:lang w:val="en-US"/>
        </w:rPr>
        <w:t xml:space="preserve">Add a new content </w:t>
      </w:r>
      <w:r w:rsidRPr="00B45DD1">
        <w:rPr>
          <w:lang w:val="en-US"/>
        </w:rPr>
        <w:t>database</w:t>
      </w:r>
    </w:p>
    <w:p w:rsidR="0046598A" w:rsidRPr="00662559" w:rsidRDefault="00B45DD1" w:rsidP="00662559">
      <w:pPr>
        <w:rPr>
          <w:lang w:val="en-US"/>
        </w:rPr>
      </w:pPr>
      <w:r>
        <w:rPr>
          <w:lang w:val="en-US"/>
        </w:rPr>
        <w:t xml:space="preserve">Both actions can be performed via the </w:t>
      </w:r>
      <w:r w:rsidRPr="00B45DD1">
        <w:rPr>
          <w:lang w:val="en-US"/>
        </w:rPr>
        <w:t xml:space="preserve">Central Administration </w:t>
      </w:r>
      <w:r>
        <w:rPr>
          <w:lang w:val="en-US"/>
        </w:rPr>
        <w:t xml:space="preserve">site </w:t>
      </w:r>
      <w:r w:rsidRPr="00B45DD1">
        <w:rPr>
          <w:lang w:val="en-US"/>
        </w:rPr>
        <w:t>(Application Management &gt; Manage content databases).</w:t>
      </w:r>
      <w:bookmarkStart w:id="0" w:name="_GoBack"/>
      <w:bookmarkEnd w:id="0"/>
    </w:p>
    <w:sectPr w:rsidR="0046598A" w:rsidRPr="00662559" w:rsidSect="00B53324">
      <w:headerReference w:type="default" r:id="rId10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7CF" w:rsidRDefault="005B77CF" w:rsidP="0046598A">
      <w:pPr>
        <w:spacing w:after="0" w:line="240" w:lineRule="auto"/>
      </w:pPr>
      <w:r>
        <w:separator/>
      </w:r>
    </w:p>
  </w:endnote>
  <w:endnote w:type="continuationSeparator" w:id="0">
    <w:p w:rsidR="005B77CF" w:rsidRDefault="005B77CF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7CF" w:rsidRDefault="005B77CF" w:rsidP="0046598A">
      <w:pPr>
        <w:spacing w:after="0" w:line="240" w:lineRule="auto"/>
      </w:pPr>
      <w:r>
        <w:separator/>
      </w:r>
    </w:p>
  </w:footnote>
  <w:footnote w:type="continuationSeparator" w:id="0">
    <w:p w:rsidR="005B77CF" w:rsidRDefault="005B77CF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2F0138">
      <w:rPr>
        <w:color w:val="2F5496" w:themeColor="accent1" w:themeShade="BF"/>
        <w:sz w:val="36"/>
      </w:rPr>
      <w:t>D16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958D8"/>
    <w:rsid w:val="001C23CC"/>
    <w:rsid w:val="002F0138"/>
    <w:rsid w:val="0030472E"/>
    <w:rsid w:val="00393594"/>
    <w:rsid w:val="003F698D"/>
    <w:rsid w:val="00454F52"/>
    <w:rsid w:val="0046598A"/>
    <w:rsid w:val="004F5AE5"/>
    <w:rsid w:val="00521179"/>
    <w:rsid w:val="0058145F"/>
    <w:rsid w:val="005A6281"/>
    <w:rsid w:val="005B77CF"/>
    <w:rsid w:val="00662559"/>
    <w:rsid w:val="0085749B"/>
    <w:rsid w:val="00905103"/>
    <w:rsid w:val="009351FA"/>
    <w:rsid w:val="00941BE3"/>
    <w:rsid w:val="00980D75"/>
    <w:rsid w:val="00A71D02"/>
    <w:rsid w:val="00A81885"/>
    <w:rsid w:val="00B45DD1"/>
    <w:rsid w:val="00B53324"/>
    <w:rsid w:val="00BB4A09"/>
    <w:rsid w:val="00BE1533"/>
    <w:rsid w:val="00C16D94"/>
    <w:rsid w:val="00C43681"/>
    <w:rsid w:val="00EA3641"/>
    <w:rsid w:val="00EE6C86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F5182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3</cp:revision>
  <dcterms:created xsi:type="dcterms:W3CDTF">2017-09-14T13:42:00Z</dcterms:created>
  <dcterms:modified xsi:type="dcterms:W3CDTF">2017-09-14T13:55:00Z</dcterms:modified>
</cp:coreProperties>
</file>