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DF1DD1">
        <w:rPr>
          <w:lang w:val="en-US"/>
        </w:rPr>
        <w:t>last boot time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DF1DD1">
        <w:rPr>
          <w:lang w:val="en-US"/>
        </w:rPr>
        <w:t>Last Boot Time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>check when the servers in the farm have been rebooted last</w:t>
      </w:r>
      <w:r w:rsidR="00593430">
        <w:rPr>
          <w:lang w:val="en-US"/>
        </w:rPr>
        <w:t>.</w:t>
      </w:r>
      <w:r w:rsidR="00DF1DD1">
        <w:rPr>
          <w:lang w:val="en-US"/>
        </w:rPr>
        <w:t xml:space="preserve"> This is an indication for when patches were last installed</w:t>
      </w:r>
    </w:p>
    <w:p w:rsidR="0046598A" w:rsidRPr="00083796" w:rsidRDefault="00F30AE7" w:rsidP="0046598A">
      <w:pPr>
        <w:pStyle w:val="Heading1"/>
        <w:rPr>
          <w:lang w:val="en-US"/>
        </w:rPr>
      </w:pPr>
      <w:r w:rsidRPr="00083796">
        <w:rPr>
          <w:lang w:val="en-US"/>
        </w:rP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097"/>
        <w:gridCol w:w="5985"/>
      </w:tblGrid>
      <w:tr w:rsidR="00F30AE7" w:rsidTr="00593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97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985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083796" w:rsidRPr="003F5C04" w:rsidTr="00771B40">
        <w:tc>
          <w:tcPr>
            <w:tcW w:w="9082" w:type="dxa"/>
            <w:gridSpan w:val="2"/>
          </w:tcPr>
          <w:p w:rsidR="00083796" w:rsidRPr="00083796" w:rsidRDefault="00083796" w:rsidP="00771B40">
            <w:pPr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u w:val="single"/>
                <w:lang w:val="en-US"/>
              </w:rPr>
              <w:t>Important</w:t>
            </w:r>
            <w:r w:rsidRPr="00083796">
              <w:rPr>
                <w:b/>
                <w:color w:val="auto"/>
                <w:u w:val="single"/>
                <w:lang w:val="en-US"/>
              </w:rPr>
              <w:t>:</w:t>
            </w:r>
            <w:r w:rsidRPr="00083796">
              <w:rPr>
                <w:b/>
                <w:color w:val="auto"/>
                <w:lang w:val="en-US"/>
              </w:rPr>
              <w:t xml:space="preserve"> Perform these steps on all </w:t>
            </w:r>
            <w:r>
              <w:rPr>
                <w:b/>
                <w:color w:val="auto"/>
                <w:lang w:val="en-US"/>
              </w:rPr>
              <w:t>servers in the</w:t>
            </w:r>
            <w:r w:rsidRPr="00083796">
              <w:rPr>
                <w:b/>
                <w:color w:val="auto"/>
                <w:lang w:val="en-US"/>
              </w:rPr>
              <w:t xml:space="preserve"> farm</w:t>
            </w:r>
          </w:p>
        </w:tc>
      </w:tr>
      <w:tr w:rsidR="009351FA" w:rsidRPr="00083796" w:rsidTr="00593430">
        <w:tc>
          <w:tcPr>
            <w:tcW w:w="3097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bookmarkStart w:id="0" w:name="_GoBack"/>
            <w:bookmarkEnd w:id="0"/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985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1958D8" w:rsidTr="00593430">
        <w:tc>
          <w:tcPr>
            <w:tcW w:w="3097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 xml:space="preserve">Open </w:t>
            </w:r>
            <w:r w:rsidR="00DF1DD1">
              <w:rPr>
                <w:rFonts w:cs="Calibri"/>
                <w:bCs/>
                <w:color w:val="auto"/>
                <w:lang w:val="en-US"/>
              </w:rPr>
              <w:t>PowerShell</w:t>
            </w:r>
          </w:p>
        </w:tc>
        <w:tc>
          <w:tcPr>
            <w:tcW w:w="5985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</w:p>
        </w:tc>
      </w:tr>
      <w:tr w:rsidR="00AA713E" w:rsidRPr="003F5C04" w:rsidTr="00593430">
        <w:tc>
          <w:tcPr>
            <w:tcW w:w="3097" w:type="dxa"/>
          </w:tcPr>
          <w:p w:rsidR="00AA713E" w:rsidRPr="00AA713E" w:rsidRDefault="00AA713E" w:rsidP="00AA713E">
            <w:pPr>
              <w:rPr>
                <w:lang w:val="en-US"/>
              </w:rPr>
            </w:pPr>
            <w:r w:rsidRPr="00AA713E">
              <w:rPr>
                <w:lang w:val="en-US"/>
              </w:rPr>
              <w:t>Step 3:</w:t>
            </w:r>
          </w:p>
          <w:p w:rsidR="00DF1DD1" w:rsidRPr="00627604" w:rsidRDefault="00627604" w:rsidP="00DF1DD1">
            <w:pPr>
              <w:rPr>
                <w:color w:val="auto"/>
                <w:lang w:val="en-US"/>
              </w:rPr>
            </w:pPr>
            <w:r w:rsidRPr="00627604">
              <w:rPr>
                <w:color w:val="auto"/>
                <w:lang w:val="en-US"/>
              </w:rPr>
              <w:t xml:space="preserve">Run the </w:t>
            </w:r>
            <w:r>
              <w:rPr>
                <w:color w:val="auto"/>
                <w:lang w:val="en-US"/>
              </w:rPr>
              <w:t>PowerShell command</w:t>
            </w:r>
            <w:r w:rsidR="00DF1DD1" w:rsidRPr="00627604">
              <w:rPr>
                <w:color w:val="auto"/>
                <w:lang w:val="en-US"/>
              </w:rPr>
              <w:t>.</w:t>
            </w:r>
          </w:p>
          <w:p w:rsidR="00AA713E" w:rsidRPr="00627604" w:rsidRDefault="00AA713E" w:rsidP="00DF1DD1">
            <w:pPr>
              <w:rPr>
                <w:lang w:val="en-US"/>
              </w:rPr>
            </w:pPr>
          </w:p>
        </w:tc>
        <w:tc>
          <w:tcPr>
            <w:tcW w:w="5985" w:type="dxa"/>
            <w:vAlign w:val="center"/>
          </w:tcPr>
          <w:p w:rsidR="00AA713E" w:rsidRPr="00AA713E" w:rsidRDefault="00DF1DD1" w:rsidP="00AA713E">
            <w:pPr>
              <w:rPr>
                <w:lang w:val="en-US"/>
              </w:rPr>
            </w:pPr>
            <w:r w:rsidRPr="00BE19C5">
              <w:rPr>
                <w:color w:val="auto"/>
                <w:lang w:val="en-US"/>
              </w:rPr>
              <w:t>[Management.ManagementDateTimeConverter</w:t>
            </w:r>
            <w:proofErr w:type="gramStart"/>
            <w:r w:rsidRPr="00BE19C5">
              <w:rPr>
                <w:color w:val="auto"/>
                <w:lang w:val="en-US"/>
              </w:rPr>
              <w:t>]::</w:t>
            </w:r>
            <w:proofErr w:type="gramEnd"/>
            <w:r w:rsidRPr="00BE19C5">
              <w:rPr>
                <w:color w:val="auto"/>
                <w:lang w:val="en-US"/>
              </w:rPr>
              <w:t>ToDateTime((Get-WMIObject -Class win32_operatingsystem).</w:t>
            </w:r>
            <w:proofErr w:type="spellStart"/>
            <w:r w:rsidRPr="00BE19C5">
              <w:rPr>
                <w:color w:val="auto"/>
                <w:lang w:val="en-US"/>
              </w:rPr>
              <w:t>LastBootUpTime</w:t>
            </w:r>
            <w:proofErr w:type="spellEnd"/>
            <w:r w:rsidRPr="00BE19C5">
              <w:rPr>
                <w:color w:val="auto"/>
                <w:lang w:val="en-US"/>
              </w:rPr>
              <w:t>)</w:t>
            </w:r>
          </w:p>
        </w:tc>
      </w:tr>
      <w:tr w:rsidR="00593430" w:rsidRPr="003F5C04" w:rsidTr="00593430">
        <w:tc>
          <w:tcPr>
            <w:tcW w:w="3097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27604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593430" w:rsidRDefault="00593430" w:rsidP="00593430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 xml:space="preserve">Check </w:t>
            </w:r>
            <w:r w:rsidR="00627604">
              <w:rPr>
                <w:bCs/>
                <w:color w:val="auto"/>
                <w:lang w:val="en-US"/>
              </w:rPr>
              <w:t>the specified time is longer than one month ago.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If this is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 xml:space="preserve">to have this </w:t>
            </w:r>
            <w:r w:rsidR="00627604">
              <w:rPr>
                <w:bCs/>
                <w:color w:val="auto"/>
                <w:lang w:val="en-US"/>
              </w:rPr>
              <w:t>investigated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985" w:type="dxa"/>
          </w:tcPr>
          <w:p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  <w:tr w:rsidR="00593430" w:rsidRPr="003F5C04" w:rsidTr="00593430">
        <w:tc>
          <w:tcPr>
            <w:tcW w:w="3097" w:type="dxa"/>
          </w:tcPr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627604"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985" w:type="dxa"/>
          </w:tcPr>
          <w:p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083796" w:rsidRDefault="00F30AE7" w:rsidP="0046598A">
      <w:pPr>
        <w:pStyle w:val="Heading1"/>
        <w:rPr>
          <w:lang w:val="en-US"/>
        </w:rPr>
      </w:pPr>
      <w:r w:rsidRPr="00083796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627604" w:rsidRPr="00083796" w:rsidRDefault="00627604" w:rsidP="00627604">
      <w:pPr>
        <w:rPr>
          <w:lang w:val="en-US"/>
        </w:rPr>
      </w:pPr>
      <w:r w:rsidRPr="00627604">
        <w:rPr>
          <w:lang w:val="en-US"/>
        </w:rPr>
        <w:t xml:space="preserve">Check why the server hasn’t been rebooted in a </w:t>
      </w:r>
      <w:r>
        <w:rPr>
          <w:lang w:val="en-US"/>
        </w:rPr>
        <w:t>month and if the server has been fully patched. Depending on the results of this check, have all missing patches installed and/or reboot the server.</w:t>
      </w:r>
    </w:p>
    <w:p w:rsidR="0046598A" w:rsidRPr="00083796" w:rsidRDefault="0046598A" w:rsidP="00627604">
      <w:pPr>
        <w:rPr>
          <w:lang w:val="en-US"/>
        </w:rPr>
      </w:pPr>
    </w:p>
    <w:sectPr w:rsidR="0046598A" w:rsidRPr="00083796" w:rsidSect="00B53324">
      <w:headerReference w:type="default" r:id="rId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85D" w:rsidRDefault="0024385D" w:rsidP="0046598A">
      <w:pPr>
        <w:spacing w:after="0" w:line="240" w:lineRule="auto"/>
      </w:pPr>
      <w:r>
        <w:separator/>
      </w:r>
    </w:p>
  </w:endnote>
  <w:endnote w:type="continuationSeparator" w:id="0">
    <w:p w:rsidR="0024385D" w:rsidRDefault="0024385D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85D" w:rsidRDefault="0024385D" w:rsidP="0046598A">
      <w:pPr>
        <w:spacing w:after="0" w:line="240" w:lineRule="auto"/>
      </w:pPr>
      <w:r>
        <w:separator/>
      </w:r>
    </w:p>
  </w:footnote>
  <w:footnote w:type="continuationSeparator" w:id="0">
    <w:p w:rsidR="0024385D" w:rsidRDefault="0024385D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DF1DD1">
      <w:rPr>
        <w:color w:val="2F5496" w:themeColor="accent1" w:themeShade="BF"/>
        <w:sz w:val="36"/>
      </w:rPr>
      <w:t>D30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83796"/>
    <w:rsid w:val="00150F2C"/>
    <w:rsid w:val="001609D3"/>
    <w:rsid w:val="001958D8"/>
    <w:rsid w:val="001C23CC"/>
    <w:rsid w:val="0024385D"/>
    <w:rsid w:val="00255EB1"/>
    <w:rsid w:val="002F0138"/>
    <w:rsid w:val="0030472E"/>
    <w:rsid w:val="00336D50"/>
    <w:rsid w:val="00393594"/>
    <w:rsid w:val="003F5C04"/>
    <w:rsid w:val="003F698D"/>
    <w:rsid w:val="00454F52"/>
    <w:rsid w:val="0046598A"/>
    <w:rsid w:val="004F5AE5"/>
    <w:rsid w:val="00521179"/>
    <w:rsid w:val="0058145F"/>
    <w:rsid w:val="00593430"/>
    <w:rsid w:val="005A6281"/>
    <w:rsid w:val="00627604"/>
    <w:rsid w:val="00662559"/>
    <w:rsid w:val="006B77A2"/>
    <w:rsid w:val="00736064"/>
    <w:rsid w:val="0085749B"/>
    <w:rsid w:val="00905103"/>
    <w:rsid w:val="009331EC"/>
    <w:rsid w:val="009351FA"/>
    <w:rsid w:val="00941BE3"/>
    <w:rsid w:val="00980D75"/>
    <w:rsid w:val="00A71D02"/>
    <w:rsid w:val="00A81885"/>
    <w:rsid w:val="00AA713E"/>
    <w:rsid w:val="00B45DD1"/>
    <w:rsid w:val="00B53324"/>
    <w:rsid w:val="00BB4A09"/>
    <w:rsid w:val="00BE1533"/>
    <w:rsid w:val="00C03D67"/>
    <w:rsid w:val="00C16D94"/>
    <w:rsid w:val="00C43681"/>
    <w:rsid w:val="00DF1DD1"/>
    <w:rsid w:val="00E503D2"/>
    <w:rsid w:val="00EA3641"/>
    <w:rsid w:val="00EE6C86"/>
    <w:rsid w:val="00F02E90"/>
    <w:rsid w:val="00F30AE7"/>
    <w:rsid w:val="00F46C9A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4E366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2017-09-14T14:27:00Z</dcterms:created>
  <dcterms:modified xsi:type="dcterms:W3CDTF">2017-09-14T14:34:00Z</dcterms:modified>
</cp:coreProperties>
</file>