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BC6D7E">
        <w:rPr>
          <w:lang w:val="en-US"/>
        </w:rPr>
        <w:t>running websites and application pools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BC6D7E">
        <w:rPr>
          <w:lang w:val="en-US"/>
        </w:rPr>
        <w:t xml:space="preserve">Running Websites </w:t>
      </w:r>
      <w:proofErr w:type="gramStart"/>
      <w:r w:rsidR="00BC6D7E">
        <w:rPr>
          <w:lang w:val="en-US"/>
        </w:rPr>
        <w:t>And</w:t>
      </w:r>
      <w:proofErr w:type="gramEnd"/>
      <w:r w:rsidR="00BC6D7E">
        <w:rPr>
          <w:lang w:val="en-US"/>
        </w:rPr>
        <w:t xml:space="preserve"> Application Pools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8905D6">
        <w:rPr>
          <w:lang w:val="en-US"/>
        </w:rPr>
        <w:t xml:space="preserve">the </w:t>
      </w:r>
      <w:r w:rsidR="00BC6D7E">
        <w:rPr>
          <w:lang w:val="en-US"/>
        </w:rPr>
        <w:t>status of all websites and application pools on all SharePoint servers in the environment</w:t>
      </w:r>
      <w:r w:rsidR="008905D6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2976"/>
        <w:gridCol w:w="6106"/>
      </w:tblGrid>
      <w:tr w:rsidR="00F30AE7" w:rsidTr="00BC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6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6106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8905D6" w:rsidRPr="0007663D" w:rsidTr="00771B40">
        <w:tc>
          <w:tcPr>
            <w:tcW w:w="9082" w:type="dxa"/>
            <w:gridSpan w:val="2"/>
          </w:tcPr>
          <w:p w:rsidR="008905D6" w:rsidRPr="008905D6" w:rsidRDefault="008905D6" w:rsidP="00771B40">
            <w:pPr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u w:val="single"/>
                <w:lang w:val="en-US"/>
              </w:rPr>
              <w:t>Important</w:t>
            </w:r>
            <w:r w:rsidRPr="00083796">
              <w:rPr>
                <w:b/>
                <w:color w:val="auto"/>
                <w:u w:val="single"/>
                <w:lang w:val="en-US"/>
              </w:rPr>
              <w:t>:</w:t>
            </w:r>
            <w:r w:rsidRPr="00083796">
              <w:rPr>
                <w:b/>
                <w:color w:val="auto"/>
                <w:lang w:val="en-US"/>
              </w:rPr>
              <w:t xml:space="preserve"> Perform these steps on all </w:t>
            </w:r>
            <w:r w:rsidR="00BC6D7E">
              <w:rPr>
                <w:b/>
                <w:color w:val="auto"/>
                <w:lang w:val="en-US"/>
              </w:rPr>
              <w:t xml:space="preserve">SharePoint </w:t>
            </w:r>
            <w:r>
              <w:rPr>
                <w:b/>
                <w:color w:val="auto"/>
                <w:lang w:val="en-US"/>
              </w:rPr>
              <w:t>servers in the</w:t>
            </w:r>
            <w:r w:rsidRPr="00083796">
              <w:rPr>
                <w:b/>
                <w:color w:val="auto"/>
                <w:lang w:val="en-US"/>
              </w:rPr>
              <w:t xml:space="preserve"> farm</w:t>
            </w:r>
          </w:p>
        </w:tc>
      </w:tr>
      <w:tr w:rsidR="009351FA" w:rsidRPr="0007663D" w:rsidTr="00BC6D7E">
        <w:tc>
          <w:tcPr>
            <w:tcW w:w="2976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Open a RDP session to the server</w:t>
            </w:r>
          </w:p>
        </w:tc>
        <w:tc>
          <w:tcPr>
            <w:tcW w:w="6106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BC6D7E" w:rsidRPr="0007663D" w:rsidTr="00BC6D7E">
        <w:tc>
          <w:tcPr>
            <w:tcW w:w="2976" w:type="dxa"/>
          </w:tcPr>
          <w:p w:rsidR="00BC6D7E" w:rsidRPr="0007663D" w:rsidRDefault="00BC6D7E" w:rsidP="00BC6D7E">
            <w:pPr>
              <w:rPr>
                <w:color w:val="auto"/>
                <w:lang w:val="en-US"/>
              </w:rPr>
            </w:pPr>
            <w:r w:rsidRPr="0007663D">
              <w:rPr>
                <w:color w:val="auto"/>
                <w:lang w:val="en-US"/>
              </w:rPr>
              <w:t>Stap 2:</w:t>
            </w:r>
          </w:p>
          <w:p w:rsidR="00BC6D7E" w:rsidRPr="0007663D" w:rsidRDefault="00BC6D7E" w:rsidP="00BC6D7E">
            <w:pPr>
              <w:rPr>
                <w:color w:val="auto"/>
                <w:lang w:val="en-US"/>
              </w:rPr>
            </w:pPr>
            <w:r w:rsidRPr="0007663D">
              <w:rPr>
                <w:color w:val="auto"/>
                <w:lang w:val="en-US"/>
              </w:rPr>
              <w:t>Open the IIS Manager</w:t>
            </w:r>
          </w:p>
        </w:tc>
        <w:tc>
          <w:tcPr>
            <w:tcW w:w="6106" w:type="dxa"/>
          </w:tcPr>
          <w:p w:rsidR="00BC6D7E" w:rsidRPr="0007663D" w:rsidRDefault="00BC6D7E" w:rsidP="00BC6D7E">
            <w:pPr>
              <w:rPr>
                <w:color w:val="auto"/>
                <w:lang w:val="en-US"/>
              </w:rPr>
            </w:pPr>
            <w:r w:rsidRPr="00A16CD9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F383713" wp14:editId="6AA5BB4D">
                  <wp:simplePos x="2921000" y="46228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57143" cy="228571"/>
                  <wp:effectExtent l="0" t="0" r="635" b="63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43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6D7E" w:rsidRPr="0007663D" w:rsidTr="00BC6D7E">
        <w:tc>
          <w:tcPr>
            <w:tcW w:w="2976" w:type="dxa"/>
          </w:tcPr>
          <w:p w:rsidR="00BC6D7E" w:rsidRPr="0007663D" w:rsidRDefault="00BC6D7E" w:rsidP="00BC6D7E">
            <w:pPr>
              <w:rPr>
                <w:color w:val="auto"/>
                <w:lang w:val="en-US"/>
              </w:rPr>
            </w:pPr>
            <w:r w:rsidRPr="0007663D">
              <w:rPr>
                <w:color w:val="auto"/>
                <w:lang w:val="en-US"/>
              </w:rPr>
              <w:t>Stap 3:</w:t>
            </w:r>
          </w:p>
          <w:p w:rsidR="00BC6D7E" w:rsidRPr="00BC6D7E" w:rsidRDefault="00BC6D7E" w:rsidP="00BC6D7E">
            <w:pPr>
              <w:rPr>
                <w:color w:val="auto"/>
                <w:lang w:val="en-US"/>
              </w:rPr>
            </w:pPr>
            <w:r w:rsidRPr="00BC6D7E">
              <w:rPr>
                <w:color w:val="auto"/>
                <w:lang w:val="en-US"/>
              </w:rPr>
              <w:t xml:space="preserve">Open the server </w:t>
            </w:r>
            <w:r>
              <w:rPr>
                <w:color w:val="auto"/>
                <w:lang w:val="en-US"/>
              </w:rPr>
              <w:t>and select</w:t>
            </w:r>
            <w:r w:rsidRPr="00BC6D7E">
              <w:rPr>
                <w:color w:val="auto"/>
                <w:lang w:val="en-US"/>
              </w:rPr>
              <w:t xml:space="preserve"> “Application Pools”</w:t>
            </w:r>
          </w:p>
        </w:tc>
        <w:tc>
          <w:tcPr>
            <w:tcW w:w="6106" w:type="dxa"/>
          </w:tcPr>
          <w:p w:rsidR="00BC6D7E" w:rsidRPr="00BC6D7E" w:rsidRDefault="00BC6D7E" w:rsidP="00BC6D7E">
            <w:pPr>
              <w:rPr>
                <w:color w:val="auto"/>
                <w:lang w:val="en-US"/>
              </w:rPr>
            </w:pPr>
            <w:r w:rsidRPr="00A16CD9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0FC9E58" wp14:editId="265377C1">
                  <wp:simplePos x="2921000" y="44259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857143" cy="761905"/>
                  <wp:effectExtent l="0" t="0" r="0" b="63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143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3430" w:rsidRPr="0007663D" w:rsidTr="00BC6D7E">
        <w:tc>
          <w:tcPr>
            <w:tcW w:w="2976" w:type="dxa"/>
          </w:tcPr>
          <w:p w:rsidR="00593430" w:rsidRPr="0085749B" w:rsidRDefault="00593430" w:rsidP="00593430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27604">
              <w:rPr>
                <w:bCs/>
                <w:color w:val="auto"/>
                <w:lang w:val="en-US"/>
              </w:rPr>
              <w:t>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BC6D7E" w:rsidRPr="00BC6D7E" w:rsidRDefault="00BC6D7E" w:rsidP="00BC6D7E">
            <w:pPr>
              <w:rPr>
                <w:color w:val="auto"/>
                <w:lang w:val="en-US"/>
              </w:rPr>
            </w:pPr>
            <w:r w:rsidRPr="00BC6D7E">
              <w:rPr>
                <w:color w:val="auto"/>
                <w:lang w:val="en-US"/>
              </w:rPr>
              <w:t xml:space="preserve">All Application Pools in the list should be running, except for “SharePoint Web Services Root” </w:t>
            </w:r>
            <w:r>
              <w:rPr>
                <w:color w:val="auto"/>
                <w:lang w:val="en-US"/>
              </w:rPr>
              <w:t xml:space="preserve">and the </w:t>
            </w:r>
            <w:r w:rsidRPr="00BC6D7E">
              <w:rPr>
                <w:color w:val="auto"/>
                <w:lang w:val="en-US"/>
              </w:rPr>
              <w:t xml:space="preserve">default .NET </w:t>
            </w:r>
            <w:r>
              <w:rPr>
                <w:color w:val="auto"/>
                <w:lang w:val="en-US"/>
              </w:rPr>
              <w:t xml:space="preserve">and </w:t>
            </w:r>
            <w:r w:rsidRPr="00BC6D7E">
              <w:rPr>
                <w:color w:val="auto"/>
                <w:lang w:val="en-US"/>
              </w:rPr>
              <w:t>IIS application pools.</w:t>
            </w:r>
          </w:p>
          <w:p w:rsidR="00593430" w:rsidRPr="00BC6D7E" w:rsidRDefault="00593430" w:rsidP="00593430">
            <w:pPr>
              <w:rPr>
                <w:bCs/>
                <w:color w:val="auto"/>
                <w:lang w:val="en-US"/>
              </w:rPr>
            </w:pP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 w:rsidR="008905D6"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 xml:space="preserve">to have this </w:t>
            </w:r>
            <w:r w:rsidR="00627604">
              <w:rPr>
                <w:bCs/>
                <w:color w:val="auto"/>
                <w:lang w:val="en-US"/>
              </w:rPr>
              <w:t>investigated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6106" w:type="dxa"/>
          </w:tcPr>
          <w:p w:rsidR="00593430" w:rsidRPr="009351FA" w:rsidRDefault="00BC6D7E" w:rsidP="00593430">
            <w:pPr>
              <w:rPr>
                <w:color w:val="auto"/>
                <w:lang w:val="en-US"/>
              </w:rPr>
            </w:pPr>
            <w:r w:rsidRPr="00A16CD9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E5FB67A" wp14:editId="38E8682C">
                  <wp:simplePos x="0" y="0"/>
                  <wp:positionH relativeFrom="margin">
                    <wp:posOffset>-25400</wp:posOffset>
                  </wp:positionH>
                  <wp:positionV relativeFrom="margin">
                    <wp:posOffset>7620</wp:posOffset>
                  </wp:positionV>
                  <wp:extent cx="3740150" cy="253365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1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6D7E" w:rsidRPr="00BC6D7E" w:rsidTr="00BC6D7E">
        <w:tc>
          <w:tcPr>
            <w:tcW w:w="2976" w:type="dxa"/>
          </w:tcPr>
          <w:p w:rsidR="00BC6D7E" w:rsidRPr="00A16CD9" w:rsidRDefault="00BC6D7E" w:rsidP="00BC6D7E">
            <w:pPr>
              <w:rPr>
                <w:color w:val="auto"/>
              </w:rPr>
            </w:pPr>
            <w:r w:rsidRPr="00A16CD9">
              <w:rPr>
                <w:color w:val="auto"/>
              </w:rPr>
              <w:t>St</w:t>
            </w:r>
            <w:r>
              <w:rPr>
                <w:color w:val="auto"/>
              </w:rPr>
              <w:t>e</w:t>
            </w:r>
            <w:r w:rsidRPr="00A16CD9">
              <w:rPr>
                <w:color w:val="auto"/>
              </w:rPr>
              <w:t>p 5:</w:t>
            </w:r>
          </w:p>
          <w:p w:rsidR="00BC6D7E" w:rsidRPr="00A16CD9" w:rsidRDefault="00BC6D7E" w:rsidP="00BC6D7E">
            <w:pPr>
              <w:rPr>
                <w:color w:val="auto"/>
              </w:rPr>
            </w:pPr>
            <w:r>
              <w:rPr>
                <w:color w:val="auto"/>
              </w:rPr>
              <w:t>Select</w:t>
            </w:r>
            <w:r w:rsidRPr="00A16CD9">
              <w:rPr>
                <w:color w:val="auto"/>
              </w:rPr>
              <w:t xml:space="preserve"> “Sites”</w:t>
            </w:r>
          </w:p>
        </w:tc>
        <w:tc>
          <w:tcPr>
            <w:tcW w:w="6106" w:type="dxa"/>
          </w:tcPr>
          <w:p w:rsidR="00BC6D7E" w:rsidRPr="00A16CD9" w:rsidRDefault="00BC6D7E" w:rsidP="00BC6D7E">
            <w:pPr>
              <w:rPr>
                <w:color w:val="auto"/>
              </w:rPr>
            </w:pPr>
            <w:r w:rsidRPr="00A16CD9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8C6FACA" wp14:editId="648FF531">
                  <wp:simplePos x="2419350" y="80200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847619" cy="809524"/>
                  <wp:effectExtent l="0" t="0" r="635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619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6D7E" w:rsidRPr="0007663D" w:rsidTr="00BC6D7E">
        <w:tc>
          <w:tcPr>
            <w:tcW w:w="2976" w:type="dxa"/>
          </w:tcPr>
          <w:p w:rsidR="00BC6D7E" w:rsidRPr="0007663D" w:rsidRDefault="00BC6D7E" w:rsidP="00BC6D7E">
            <w:pPr>
              <w:rPr>
                <w:color w:val="auto"/>
                <w:lang w:val="en-US"/>
              </w:rPr>
            </w:pPr>
            <w:r w:rsidRPr="0007663D">
              <w:rPr>
                <w:color w:val="auto"/>
                <w:lang w:val="en-US"/>
              </w:rPr>
              <w:lastRenderedPageBreak/>
              <w:t>Stap 6:</w:t>
            </w:r>
          </w:p>
          <w:p w:rsidR="00BC6D7E" w:rsidRPr="00BC6D7E" w:rsidRDefault="00BC6D7E" w:rsidP="00BC6D7E">
            <w:pPr>
              <w:rPr>
                <w:color w:val="auto"/>
                <w:lang w:val="en-US"/>
              </w:rPr>
            </w:pPr>
            <w:r w:rsidRPr="00BC6D7E">
              <w:rPr>
                <w:color w:val="auto"/>
                <w:lang w:val="en-US"/>
              </w:rPr>
              <w:t>All Sites in the list should be running, except for the default IIS websites.</w:t>
            </w:r>
          </w:p>
          <w:p w:rsidR="00BC6D7E" w:rsidRPr="00BC6D7E" w:rsidRDefault="00BC6D7E" w:rsidP="00BC6D7E">
            <w:pPr>
              <w:rPr>
                <w:color w:val="auto"/>
                <w:lang w:val="en-US"/>
              </w:rPr>
            </w:pPr>
          </w:p>
          <w:p w:rsidR="00BC6D7E" w:rsidRPr="00BC6D7E" w:rsidRDefault="00BC6D7E" w:rsidP="00BC6D7E">
            <w:pPr>
              <w:rPr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investigated.</w:t>
            </w:r>
          </w:p>
        </w:tc>
        <w:tc>
          <w:tcPr>
            <w:tcW w:w="6106" w:type="dxa"/>
          </w:tcPr>
          <w:p w:rsidR="00BC6D7E" w:rsidRPr="00BC6D7E" w:rsidRDefault="00BC6D7E" w:rsidP="00BC6D7E">
            <w:pPr>
              <w:rPr>
                <w:noProof/>
                <w:color w:val="auto"/>
                <w:lang w:val="en-US"/>
              </w:rPr>
            </w:pPr>
            <w:r w:rsidRPr="00A16CD9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A3C8B4D" wp14:editId="2FB8F326">
                  <wp:simplePos x="2419350" y="3619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206915" cy="1276416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915" cy="127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6D7E" w:rsidRPr="0007663D" w:rsidTr="00BC6D7E">
        <w:tc>
          <w:tcPr>
            <w:tcW w:w="2976" w:type="dxa"/>
          </w:tcPr>
          <w:p w:rsidR="00BC6D7E" w:rsidRPr="009351FA" w:rsidRDefault="00BC6D7E" w:rsidP="00BC6D7E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7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BC6D7E" w:rsidRPr="009351FA" w:rsidRDefault="00BC6D7E" w:rsidP="00BC6D7E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6106" w:type="dxa"/>
          </w:tcPr>
          <w:p w:rsidR="00BC6D7E" w:rsidRPr="009351FA" w:rsidRDefault="00BC6D7E" w:rsidP="00BC6D7E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07663D" w:rsidRDefault="00F30AE7" w:rsidP="0046598A">
      <w:pPr>
        <w:pStyle w:val="Heading1"/>
        <w:rPr>
          <w:lang w:val="en-US"/>
        </w:rPr>
      </w:pPr>
      <w:r w:rsidRPr="0007663D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46598A" w:rsidRPr="00BC6D7E" w:rsidRDefault="00BC6D7E" w:rsidP="00BC6D7E">
      <w:pPr>
        <w:rPr>
          <w:lang w:val="en-US"/>
        </w:rPr>
      </w:pPr>
      <w:r w:rsidRPr="00BC6D7E">
        <w:rPr>
          <w:lang w:val="en-US"/>
        </w:rPr>
        <w:t>Start all websites and/or application pools that aren’t Started but should have been started</w:t>
      </w:r>
      <w:r>
        <w:rPr>
          <w:lang w:val="en-US"/>
        </w:rPr>
        <w:t xml:space="preserve">, by logging onto the server, opening the </w:t>
      </w:r>
      <w:r w:rsidRPr="00BC6D7E">
        <w:rPr>
          <w:lang w:val="en-US"/>
        </w:rPr>
        <w:t>IIS Manager</w:t>
      </w:r>
      <w:r>
        <w:rPr>
          <w:lang w:val="en-US"/>
        </w:rPr>
        <w:t xml:space="preserve">, selecting the site/application pool and clicking </w:t>
      </w:r>
      <w:r w:rsidRPr="00BC6D7E">
        <w:rPr>
          <w:lang w:val="en-US"/>
        </w:rPr>
        <w:t>“Start”.</w:t>
      </w:r>
    </w:p>
    <w:sectPr w:rsidR="0046598A" w:rsidRPr="00BC6D7E" w:rsidSect="00B5332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C78" w:rsidRDefault="00BE4C78" w:rsidP="0046598A">
      <w:pPr>
        <w:spacing w:after="0" w:line="240" w:lineRule="auto"/>
      </w:pPr>
      <w:r>
        <w:separator/>
      </w:r>
    </w:p>
  </w:endnote>
  <w:endnote w:type="continuationSeparator" w:id="0">
    <w:p w:rsidR="00BE4C78" w:rsidRDefault="00BE4C78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63D" w:rsidRDefault="00076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63D" w:rsidRDefault="000766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63D" w:rsidRDefault="00076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C78" w:rsidRDefault="00BE4C78" w:rsidP="0046598A">
      <w:pPr>
        <w:spacing w:after="0" w:line="240" w:lineRule="auto"/>
      </w:pPr>
      <w:r>
        <w:separator/>
      </w:r>
    </w:p>
  </w:footnote>
  <w:footnote w:type="continuationSeparator" w:id="0">
    <w:p w:rsidR="00BE4C78" w:rsidRDefault="00BE4C78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63D" w:rsidRDefault="00076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07663D">
      <w:rPr>
        <w:color w:val="2F5496" w:themeColor="accent1" w:themeShade="BF"/>
        <w:sz w:val="36"/>
      </w:rPr>
      <w:t>D33</w:t>
    </w:r>
    <w:bookmarkStart w:id="0" w:name="_GoBack"/>
    <w:bookmarkEnd w:id="0"/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63D" w:rsidRDefault="00076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7663D"/>
    <w:rsid w:val="00150F2C"/>
    <w:rsid w:val="001609D3"/>
    <w:rsid w:val="001958D8"/>
    <w:rsid w:val="001C23CC"/>
    <w:rsid w:val="00255EB1"/>
    <w:rsid w:val="002F0138"/>
    <w:rsid w:val="0030472E"/>
    <w:rsid w:val="00336D50"/>
    <w:rsid w:val="00376338"/>
    <w:rsid w:val="00393594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627604"/>
    <w:rsid w:val="00662559"/>
    <w:rsid w:val="006B0108"/>
    <w:rsid w:val="006B77A2"/>
    <w:rsid w:val="00736064"/>
    <w:rsid w:val="007D7290"/>
    <w:rsid w:val="0085749B"/>
    <w:rsid w:val="008905D6"/>
    <w:rsid w:val="00905103"/>
    <w:rsid w:val="009351FA"/>
    <w:rsid w:val="00941BE3"/>
    <w:rsid w:val="00980D75"/>
    <w:rsid w:val="00A71D02"/>
    <w:rsid w:val="00A81885"/>
    <w:rsid w:val="00AA713E"/>
    <w:rsid w:val="00B378BD"/>
    <w:rsid w:val="00B45DD1"/>
    <w:rsid w:val="00B53324"/>
    <w:rsid w:val="00BB1950"/>
    <w:rsid w:val="00BB4A09"/>
    <w:rsid w:val="00BC6D7E"/>
    <w:rsid w:val="00BE1533"/>
    <w:rsid w:val="00BE4C78"/>
    <w:rsid w:val="00C03D67"/>
    <w:rsid w:val="00C16D94"/>
    <w:rsid w:val="00C43681"/>
    <w:rsid w:val="00D05EAC"/>
    <w:rsid w:val="00DF1DD1"/>
    <w:rsid w:val="00E503D2"/>
    <w:rsid w:val="00EA3641"/>
    <w:rsid w:val="00EE6C86"/>
    <w:rsid w:val="00F02E90"/>
    <w:rsid w:val="00F30AE7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37BC4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4</cp:revision>
  <dcterms:created xsi:type="dcterms:W3CDTF">2017-09-14T14:52:00Z</dcterms:created>
  <dcterms:modified xsi:type="dcterms:W3CDTF">2017-09-14T14:58:00Z</dcterms:modified>
</cp:coreProperties>
</file>