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C553FB">
        <w:rPr>
          <w:lang w:val="en-US"/>
        </w:rPr>
        <w:t>group membership check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FD776F">
        <w:rPr>
          <w:lang w:val="en-US"/>
        </w:rPr>
        <w:t>Group Membership Check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FD776F">
        <w:rPr>
          <w:lang w:val="en-US"/>
        </w:rPr>
        <w:t>if all Active Directory administration groups have the correct members, validating that only authorized personnel has access to the environment.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76"/>
        <w:gridCol w:w="6106"/>
      </w:tblGrid>
      <w:tr w:rsidR="00F30AE7" w:rsidTr="00BC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6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106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B332DE" w:rsidTr="00BC6D7E">
        <w:tc>
          <w:tcPr>
            <w:tcW w:w="2976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 w:rsidR="00FD776F"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6106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FD776F" w:rsidRPr="00B332DE" w:rsidTr="00BC6D7E">
        <w:tc>
          <w:tcPr>
            <w:tcW w:w="2976" w:type="dxa"/>
          </w:tcPr>
          <w:p w:rsidR="00FD776F" w:rsidRPr="00ED3474" w:rsidRDefault="00B332DE" w:rsidP="00FD776F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Ste</w:t>
            </w:r>
            <w:bookmarkStart w:id="0" w:name="_GoBack"/>
            <w:bookmarkEnd w:id="0"/>
            <w:r w:rsidR="00FD776F" w:rsidRPr="00ED3474">
              <w:rPr>
                <w:color w:val="auto"/>
                <w:lang w:val="en-US"/>
              </w:rPr>
              <w:t>p 2:</w:t>
            </w:r>
          </w:p>
          <w:p w:rsidR="00FD776F" w:rsidRPr="00733E4A" w:rsidRDefault="00FD776F" w:rsidP="00FD776F">
            <w:pPr>
              <w:rPr>
                <w:color w:val="auto"/>
                <w:lang w:val="en-US"/>
              </w:rPr>
            </w:pPr>
            <w:r w:rsidRPr="00733E4A">
              <w:rPr>
                <w:color w:val="auto"/>
                <w:lang w:val="en-US"/>
              </w:rPr>
              <w:t>Open Active Directory Users and Computers mmc</w:t>
            </w:r>
          </w:p>
        </w:tc>
        <w:tc>
          <w:tcPr>
            <w:tcW w:w="6106" w:type="dxa"/>
          </w:tcPr>
          <w:p w:rsidR="00FD776F" w:rsidRPr="00733E4A" w:rsidRDefault="00FD776F" w:rsidP="00FD776F">
            <w:pPr>
              <w:rPr>
                <w:color w:val="auto"/>
                <w:lang w:val="en-US"/>
              </w:rPr>
            </w:pPr>
          </w:p>
        </w:tc>
      </w:tr>
      <w:tr w:rsidR="00FD776F" w:rsidRPr="00BC6D7E" w:rsidTr="00BC6D7E">
        <w:tc>
          <w:tcPr>
            <w:tcW w:w="2976" w:type="dxa"/>
          </w:tcPr>
          <w:p w:rsidR="00FD776F" w:rsidRPr="00A16CD9" w:rsidRDefault="00B332DE" w:rsidP="00FD776F">
            <w:pPr>
              <w:rPr>
                <w:color w:val="auto"/>
              </w:rPr>
            </w:pPr>
            <w:r>
              <w:rPr>
                <w:color w:val="auto"/>
              </w:rPr>
              <w:t>Ste</w:t>
            </w:r>
            <w:r w:rsidR="00FD776F" w:rsidRPr="00A16CD9">
              <w:rPr>
                <w:color w:val="auto"/>
              </w:rPr>
              <w:t>p 3:</w:t>
            </w:r>
          </w:p>
          <w:p w:rsidR="00FD776F" w:rsidRPr="00B332DE" w:rsidRDefault="00FD776F" w:rsidP="00FD776F">
            <w:pPr>
              <w:rPr>
                <w:color w:val="auto"/>
                <w:lang w:val="en-US"/>
              </w:rPr>
            </w:pPr>
            <w:r w:rsidRPr="00B332DE">
              <w:rPr>
                <w:color w:val="auto"/>
                <w:lang w:val="en-US"/>
              </w:rPr>
              <w:t>Browse to &lt;OU&gt; and open the Administration groups</w:t>
            </w:r>
          </w:p>
        </w:tc>
        <w:tc>
          <w:tcPr>
            <w:tcW w:w="6106" w:type="dxa"/>
          </w:tcPr>
          <w:p w:rsidR="00FD776F" w:rsidRDefault="00FD776F" w:rsidP="00FD776F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  <w:p w:rsidR="00FD776F" w:rsidRDefault="00FD776F" w:rsidP="00FD776F">
            <w:pPr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  <w:p w:rsidR="00FD776F" w:rsidRPr="00A16CD9" w:rsidRDefault="00FD776F" w:rsidP="00FD776F">
            <w:pPr>
              <w:rPr>
                <w:color w:val="auto"/>
              </w:rPr>
            </w:pPr>
            <w:r>
              <w:rPr>
                <w:color w:val="auto"/>
              </w:rPr>
              <w:t>Z</w:t>
            </w:r>
          </w:p>
        </w:tc>
      </w:tr>
      <w:tr w:rsidR="00593430" w:rsidRPr="009351FA" w:rsidTr="00BC6D7E">
        <w:tc>
          <w:tcPr>
            <w:tcW w:w="2976" w:type="dxa"/>
          </w:tcPr>
          <w:p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27604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FD776F" w:rsidRPr="00B332DE" w:rsidRDefault="00FD776F" w:rsidP="00FD776F">
            <w:pPr>
              <w:rPr>
                <w:color w:val="auto"/>
                <w:lang w:val="en-US"/>
              </w:rPr>
            </w:pPr>
            <w:r w:rsidRPr="00FD776F">
              <w:rPr>
                <w:color w:val="auto"/>
                <w:lang w:val="en-US"/>
              </w:rPr>
              <w:t>Check if the correct accounts are a</w:t>
            </w:r>
            <w:r>
              <w:rPr>
                <w:color w:val="auto"/>
                <w:lang w:val="en-US"/>
              </w:rPr>
              <w:t xml:space="preserve"> member of the correct group.</w:t>
            </w:r>
          </w:p>
          <w:p w:rsidR="00593430" w:rsidRPr="00B332DE" w:rsidRDefault="00593430" w:rsidP="00593430">
            <w:pPr>
              <w:rPr>
                <w:bCs/>
                <w:color w:val="auto"/>
                <w:lang w:val="en-US"/>
              </w:rPr>
            </w:pP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905D6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 xml:space="preserve">to have this </w:t>
            </w:r>
            <w:r w:rsidR="00627604">
              <w:rPr>
                <w:bCs/>
                <w:color w:val="auto"/>
                <w:lang w:val="en-US"/>
              </w:rPr>
              <w:t>investigated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6106" w:type="dxa"/>
          </w:tcPr>
          <w:p w:rsidR="00FD776F" w:rsidRDefault="00FD776F" w:rsidP="00FD776F">
            <w:pPr>
              <w:rPr>
                <w:color w:val="auto"/>
              </w:rPr>
            </w:pPr>
            <w:r>
              <w:rPr>
                <w:color w:val="auto"/>
              </w:rPr>
              <w:t>X - a,b,c</w:t>
            </w:r>
          </w:p>
          <w:p w:rsidR="00593430" w:rsidRPr="009351FA" w:rsidRDefault="00FD776F" w:rsidP="00FD776F">
            <w:pPr>
              <w:rPr>
                <w:color w:val="auto"/>
                <w:lang w:val="en-US"/>
              </w:rPr>
            </w:pPr>
            <w:r>
              <w:rPr>
                <w:color w:val="auto"/>
              </w:rPr>
              <w:t>Y - d,e,f</w:t>
            </w:r>
          </w:p>
        </w:tc>
      </w:tr>
      <w:tr w:rsidR="00BC6D7E" w:rsidRPr="00B332DE" w:rsidTr="00BC6D7E">
        <w:tc>
          <w:tcPr>
            <w:tcW w:w="2976" w:type="dxa"/>
          </w:tcPr>
          <w:p w:rsidR="00BC6D7E" w:rsidRPr="009351FA" w:rsidRDefault="00BC6D7E" w:rsidP="00BC6D7E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FD776F">
              <w:rPr>
                <w:bCs/>
                <w:color w:val="auto"/>
                <w:lang w:val="en-US"/>
              </w:rPr>
              <w:t xml:space="preserve"> 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BC6D7E" w:rsidRPr="009351FA" w:rsidRDefault="00BC6D7E" w:rsidP="00BC6D7E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06" w:type="dxa"/>
          </w:tcPr>
          <w:p w:rsidR="00BC6D7E" w:rsidRPr="009351FA" w:rsidRDefault="00BC6D7E" w:rsidP="00BC6D7E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FD776F" w:rsidRPr="00FD776F" w:rsidRDefault="00FD776F" w:rsidP="00FD776F">
      <w:pPr>
        <w:rPr>
          <w:lang w:val="en-US"/>
        </w:rPr>
      </w:pPr>
      <w:r w:rsidRPr="00FD776F">
        <w:rPr>
          <w:lang w:val="en-US"/>
        </w:rPr>
        <w:t>When the group membership isn’t the way it is supposed to be</w:t>
      </w:r>
      <w:r>
        <w:rPr>
          <w:lang w:val="en-US"/>
        </w:rPr>
        <w:t xml:space="preserve">, </w:t>
      </w:r>
      <w:r w:rsidR="00212EDF">
        <w:rPr>
          <w:lang w:val="en-US"/>
        </w:rPr>
        <w:t>determine how this is possible. This can result in two conclusions:</w:t>
      </w:r>
    </w:p>
    <w:p w:rsidR="00FD776F" w:rsidRPr="00212EDF" w:rsidRDefault="00212EDF" w:rsidP="00FD776F">
      <w:pPr>
        <w:pStyle w:val="ListParagraph"/>
        <w:numPr>
          <w:ilvl w:val="0"/>
          <w:numId w:val="5"/>
        </w:numPr>
        <w:rPr>
          <w:lang w:val="en-US"/>
        </w:rPr>
      </w:pPr>
      <w:r w:rsidRPr="00212EDF">
        <w:rPr>
          <w:lang w:val="en-US"/>
        </w:rPr>
        <w:t>The change is not legitimate and the group membership(s) need to be corrected.</w:t>
      </w:r>
    </w:p>
    <w:p w:rsidR="00212EDF" w:rsidRPr="00212EDF" w:rsidRDefault="00212EDF" w:rsidP="00FD776F">
      <w:pPr>
        <w:pStyle w:val="ListParagraph"/>
        <w:numPr>
          <w:ilvl w:val="0"/>
          <w:numId w:val="5"/>
        </w:numPr>
        <w:rPr>
          <w:lang w:val="en-US"/>
        </w:rPr>
      </w:pPr>
      <w:r w:rsidRPr="00212EDF">
        <w:rPr>
          <w:lang w:val="en-US"/>
        </w:rPr>
        <w:t>The change is legitimate, the specification needs to be updated.</w:t>
      </w:r>
    </w:p>
    <w:p w:rsidR="00FD776F" w:rsidRPr="00212EDF" w:rsidRDefault="00212EDF" w:rsidP="00212EDF">
      <w:pPr>
        <w:pStyle w:val="ListParagraph"/>
        <w:numPr>
          <w:ilvl w:val="1"/>
          <w:numId w:val="5"/>
        </w:numPr>
        <w:rPr>
          <w:lang w:val="en-US"/>
        </w:rPr>
      </w:pPr>
      <w:r w:rsidRPr="00212EDF">
        <w:rPr>
          <w:lang w:val="en-US"/>
        </w:rPr>
        <w:lastRenderedPageBreak/>
        <w:t xml:space="preserve">When this is checked using the script: The </w:t>
      </w:r>
      <w:r>
        <w:rPr>
          <w:lang w:val="en-US"/>
        </w:rPr>
        <w:t xml:space="preserve">configuration files of the </w:t>
      </w:r>
      <w:r w:rsidR="00FD776F" w:rsidRPr="00212EDF">
        <w:rPr>
          <w:lang w:val="en-US"/>
        </w:rPr>
        <w:t xml:space="preserve">script </w:t>
      </w:r>
      <w:r>
        <w:rPr>
          <w:lang w:val="en-US"/>
        </w:rPr>
        <w:t>need to be updated as well</w:t>
      </w:r>
      <w:r w:rsidR="00FD776F" w:rsidRPr="00212EDF">
        <w:rPr>
          <w:lang w:val="en-US"/>
        </w:rPr>
        <w:t>.</w:t>
      </w:r>
    </w:p>
    <w:p w:rsidR="0046598A" w:rsidRPr="00212EDF" w:rsidRDefault="0046598A" w:rsidP="00FD776F">
      <w:pPr>
        <w:rPr>
          <w:lang w:val="en-US"/>
        </w:rPr>
      </w:pPr>
    </w:p>
    <w:sectPr w:rsidR="0046598A" w:rsidRPr="00212EDF" w:rsidSect="00B53324">
      <w:headerReference w:type="default" r:id="rId7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0C3" w:rsidRDefault="00B820C3" w:rsidP="0046598A">
      <w:pPr>
        <w:spacing w:after="0" w:line="240" w:lineRule="auto"/>
      </w:pPr>
      <w:r>
        <w:separator/>
      </w:r>
    </w:p>
  </w:endnote>
  <w:endnote w:type="continuationSeparator" w:id="0">
    <w:p w:rsidR="00B820C3" w:rsidRDefault="00B820C3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0C3" w:rsidRDefault="00B820C3" w:rsidP="0046598A">
      <w:pPr>
        <w:spacing w:after="0" w:line="240" w:lineRule="auto"/>
      </w:pPr>
      <w:r>
        <w:separator/>
      </w:r>
    </w:p>
  </w:footnote>
  <w:footnote w:type="continuationSeparator" w:id="0">
    <w:p w:rsidR="00B820C3" w:rsidRDefault="00B820C3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C553FB">
      <w:rPr>
        <w:color w:val="2F5496" w:themeColor="accent1" w:themeShade="BF"/>
        <w:sz w:val="36"/>
      </w:rPr>
      <w:t>D34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51DC2"/>
    <w:rsid w:val="00150F2C"/>
    <w:rsid w:val="001609D3"/>
    <w:rsid w:val="001958D8"/>
    <w:rsid w:val="001C23CC"/>
    <w:rsid w:val="00212EDF"/>
    <w:rsid w:val="00255EB1"/>
    <w:rsid w:val="002F0138"/>
    <w:rsid w:val="0030472E"/>
    <w:rsid w:val="00336D50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753E"/>
    <w:rsid w:val="00627604"/>
    <w:rsid w:val="00662559"/>
    <w:rsid w:val="006B0108"/>
    <w:rsid w:val="006B77A2"/>
    <w:rsid w:val="00736064"/>
    <w:rsid w:val="0085749B"/>
    <w:rsid w:val="008905D6"/>
    <w:rsid w:val="00905103"/>
    <w:rsid w:val="009351FA"/>
    <w:rsid w:val="00941BE3"/>
    <w:rsid w:val="00980D75"/>
    <w:rsid w:val="00A71D02"/>
    <w:rsid w:val="00A81885"/>
    <w:rsid w:val="00AA713E"/>
    <w:rsid w:val="00B332DE"/>
    <w:rsid w:val="00B378BD"/>
    <w:rsid w:val="00B45DD1"/>
    <w:rsid w:val="00B53324"/>
    <w:rsid w:val="00B820C3"/>
    <w:rsid w:val="00BB1950"/>
    <w:rsid w:val="00BB4A09"/>
    <w:rsid w:val="00BC6D7E"/>
    <w:rsid w:val="00BE1533"/>
    <w:rsid w:val="00C03D67"/>
    <w:rsid w:val="00C16D94"/>
    <w:rsid w:val="00C43681"/>
    <w:rsid w:val="00C553FB"/>
    <w:rsid w:val="00D05EAC"/>
    <w:rsid w:val="00DF1DD1"/>
    <w:rsid w:val="00E503D2"/>
    <w:rsid w:val="00EA3641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B6ED41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2017-09-14T14:57:00Z</dcterms:created>
  <dcterms:modified xsi:type="dcterms:W3CDTF">2017-09-14T15:05:00Z</dcterms:modified>
</cp:coreProperties>
</file>