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C20314">
        <w:rPr>
          <w:lang w:val="en-US"/>
        </w:rPr>
        <w:t>Backup status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C20314">
        <w:rPr>
          <w:lang w:val="en-US"/>
        </w:rPr>
        <w:t>Backup Status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all </w:t>
      </w:r>
      <w:r w:rsidR="00C20314">
        <w:rPr>
          <w:lang w:val="en-US"/>
        </w:rPr>
        <w:t>backups of the environment have been created successfully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351FA" w:rsidTr="00BC6D7E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 w:rsidR="00C20314">
              <w:rPr>
                <w:rFonts w:cs="Calibri"/>
                <w:bCs/>
                <w:color w:val="auto"/>
                <w:lang w:val="en-US"/>
              </w:rPr>
              <w:t>the team mailbox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FD776F" w:rsidRPr="00FD776F" w:rsidTr="00BC6D7E">
        <w:tc>
          <w:tcPr>
            <w:tcW w:w="2976" w:type="dxa"/>
          </w:tcPr>
          <w:p w:rsidR="00FD776F" w:rsidRPr="00ED3474" w:rsidRDefault="00C20314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="00FD776F" w:rsidRPr="00ED3474">
              <w:rPr>
                <w:color w:val="auto"/>
                <w:lang w:val="en-US"/>
              </w:rPr>
              <w:t>p 2:</w:t>
            </w:r>
          </w:p>
          <w:p w:rsidR="00FD776F" w:rsidRPr="00733E4A" w:rsidRDefault="00C20314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Check if the backup mails have been received.</w:t>
            </w:r>
          </w:p>
        </w:tc>
        <w:tc>
          <w:tcPr>
            <w:tcW w:w="6106" w:type="dxa"/>
          </w:tcPr>
          <w:p w:rsidR="00FD776F" w:rsidRPr="00733E4A" w:rsidRDefault="00FD776F" w:rsidP="00FD776F">
            <w:pPr>
              <w:rPr>
                <w:color w:val="auto"/>
                <w:lang w:val="en-US"/>
              </w:rPr>
            </w:pPr>
          </w:p>
        </w:tc>
      </w:tr>
      <w:tr w:rsidR="00FD776F" w:rsidRPr="00BC6D7E" w:rsidTr="00BC6D7E">
        <w:tc>
          <w:tcPr>
            <w:tcW w:w="2976" w:type="dxa"/>
          </w:tcPr>
          <w:p w:rsidR="00FD776F" w:rsidRPr="00C20314" w:rsidRDefault="00C20314" w:rsidP="00FD776F">
            <w:pPr>
              <w:rPr>
                <w:color w:val="auto"/>
                <w:lang w:val="en-US"/>
              </w:rPr>
            </w:pPr>
            <w:r w:rsidRPr="00C20314">
              <w:rPr>
                <w:color w:val="auto"/>
                <w:lang w:val="en-US"/>
              </w:rPr>
              <w:t>Ste</w:t>
            </w:r>
            <w:r w:rsidR="00FD776F" w:rsidRPr="00C20314">
              <w:rPr>
                <w:color w:val="auto"/>
                <w:lang w:val="en-US"/>
              </w:rPr>
              <w:t>p 3:</w:t>
            </w:r>
          </w:p>
          <w:p w:rsidR="00FD776F" w:rsidRPr="00C20314" w:rsidRDefault="00C20314" w:rsidP="00FD776F">
            <w:pPr>
              <w:rPr>
                <w:color w:val="auto"/>
                <w:lang w:val="en-US"/>
              </w:rPr>
            </w:pPr>
            <w:r w:rsidRPr="00C20314">
              <w:rPr>
                <w:color w:val="auto"/>
                <w:lang w:val="en-US"/>
              </w:rPr>
              <w:t xml:space="preserve">Open the mail and check </w:t>
            </w:r>
            <w:r>
              <w:rPr>
                <w:color w:val="auto"/>
                <w:lang w:val="en-US"/>
              </w:rPr>
              <w:t>if backups have been created successfully.</w:t>
            </w:r>
          </w:p>
        </w:tc>
        <w:tc>
          <w:tcPr>
            <w:tcW w:w="6106" w:type="dxa"/>
          </w:tcPr>
          <w:p w:rsidR="00FD776F" w:rsidRPr="00A16CD9" w:rsidRDefault="00FD776F" w:rsidP="00FD776F">
            <w:pPr>
              <w:rPr>
                <w:color w:val="auto"/>
              </w:rPr>
            </w:pPr>
          </w:p>
        </w:tc>
      </w:tr>
      <w:tr w:rsidR="00593430" w:rsidRPr="009351FA" w:rsidTr="00BC6D7E">
        <w:tc>
          <w:tcPr>
            <w:tcW w:w="2976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:rsidR="00593430" w:rsidRPr="009351FA" w:rsidRDefault="00593430" w:rsidP="00FD776F">
            <w:pPr>
              <w:rPr>
                <w:color w:val="auto"/>
                <w:lang w:val="en-US"/>
              </w:rPr>
            </w:pPr>
          </w:p>
        </w:tc>
      </w:tr>
      <w:tr w:rsidR="00BC6D7E" w:rsidRPr="009351FA" w:rsidTr="00BC6D7E">
        <w:tc>
          <w:tcPr>
            <w:tcW w:w="2976" w:type="dxa"/>
          </w:tcPr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FD776F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C6D7E" w:rsidRPr="009351FA" w:rsidRDefault="00BC6D7E" w:rsidP="00BC6D7E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BC6D7E" w:rsidRPr="009351FA" w:rsidRDefault="00BC6D7E" w:rsidP="00BC6D7E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C20314" w:rsidRPr="00C20314" w:rsidRDefault="00C20314" w:rsidP="00C20314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</w:t>
      </w:r>
      <w:r w:rsidRPr="00C20314">
        <w:rPr>
          <w:lang w:val="en-US"/>
        </w:rPr>
        <w:t>part of the Periodic</w:t>
      </w:r>
      <w:r w:rsidRPr="00C20314">
        <w:rPr>
          <w:lang w:val="en-US"/>
        </w:rPr>
        <w:t xml:space="preserve">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bookmarkStart w:id="0" w:name="_GoBack"/>
      <w:bookmarkEnd w:id="0"/>
      <w:r w:rsidRPr="00C20314">
        <w:rPr>
          <w:lang w:val="en-US"/>
        </w:rPr>
        <w:t>.</w:t>
      </w:r>
    </w:p>
    <w:p w:rsidR="0046598A" w:rsidRPr="00C20314" w:rsidRDefault="00F30AE7" w:rsidP="0046598A">
      <w:pPr>
        <w:pStyle w:val="Heading1"/>
      </w:pPr>
      <w:r w:rsidRPr="00C20314">
        <w:t>resolution</w:t>
      </w:r>
    </w:p>
    <w:p w:rsidR="0046598A" w:rsidRPr="00212EDF" w:rsidRDefault="00C20314" w:rsidP="00FD776F">
      <w:pPr>
        <w:rPr>
          <w:lang w:val="en-US"/>
        </w:rPr>
      </w:pPr>
      <w:r>
        <w:rPr>
          <w:lang w:val="en-US"/>
        </w:rPr>
        <w:t xml:space="preserve">Contact the backup team to have the issue corrected. Potentially a new backup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created.</w:t>
      </w:r>
    </w:p>
    <w:sectPr w:rsidR="0046598A" w:rsidRPr="00212EDF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785" w:rsidRDefault="00046785" w:rsidP="0046598A">
      <w:pPr>
        <w:spacing w:after="0" w:line="240" w:lineRule="auto"/>
      </w:pPr>
      <w:r>
        <w:separator/>
      </w:r>
    </w:p>
  </w:endnote>
  <w:endnote w:type="continuationSeparator" w:id="0">
    <w:p w:rsidR="00046785" w:rsidRDefault="00046785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785" w:rsidRDefault="00046785" w:rsidP="0046598A">
      <w:pPr>
        <w:spacing w:after="0" w:line="240" w:lineRule="auto"/>
      </w:pPr>
      <w:r>
        <w:separator/>
      </w:r>
    </w:p>
  </w:footnote>
  <w:footnote w:type="continuationSeparator" w:id="0">
    <w:p w:rsidR="00046785" w:rsidRDefault="00046785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C20314">
      <w:rPr>
        <w:color w:val="2F5496" w:themeColor="accent1" w:themeShade="BF"/>
        <w:sz w:val="36"/>
      </w:rPr>
      <w:t>D40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46785"/>
    <w:rsid w:val="00150F2C"/>
    <w:rsid w:val="001609D3"/>
    <w:rsid w:val="001958D8"/>
    <w:rsid w:val="001C23CC"/>
    <w:rsid w:val="00212EDF"/>
    <w:rsid w:val="00255EB1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72EBD"/>
    <w:rsid w:val="00A81885"/>
    <w:rsid w:val="00AA713E"/>
    <w:rsid w:val="00B378BD"/>
    <w:rsid w:val="00B45DD1"/>
    <w:rsid w:val="00B53324"/>
    <w:rsid w:val="00BB1950"/>
    <w:rsid w:val="00BB4A09"/>
    <w:rsid w:val="00BC6D7E"/>
    <w:rsid w:val="00BE1533"/>
    <w:rsid w:val="00C03D67"/>
    <w:rsid w:val="00C16D94"/>
    <w:rsid w:val="00C20314"/>
    <w:rsid w:val="00C43681"/>
    <w:rsid w:val="00C553FB"/>
    <w:rsid w:val="00D05EAC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2017-09-14T15:03:00Z</dcterms:created>
  <dcterms:modified xsi:type="dcterms:W3CDTF">2017-09-14T15:07:00Z</dcterms:modified>
</cp:coreProperties>
</file>