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307B46">
        <w:rPr>
          <w:lang w:val="en-US"/>
        </w:rPr>
        <w:t xml:space="preserve">Baseline Settings </w:t>
      </w:r>
      <w:r w:rsidR="00C553FB">
        <w:rPr>
          <w:lang w:val="en-US"/>
        </w:rPr>
        <w:t>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D1160">
        <w:rPr>
          <w:lang w:val="en-US"/>
        </w:rPr>
        <w:t>weekly</w:t>
      </w:r>
      <w:r w:rsidR="00F30AE7">
        <w:rPr>
          <w:lang w:val="en-US"/>
        </w:rPr>
        <w:t xml:space="preserve"> check “</w:t>
      </w:r>
      <w:r w:rsidR="00307B46">
        <w:rPr>
          <w:lang w:val="en-US"/>
        </w:rPr>
        <w:t xml:space="preserve">Baseline Settings </w:t>
      </w:r>
      <w:r w:rsidR="002D1160">
        <w:rPr>
          <w:lang w:val="en-US"/>
        </w:rPr>
        <w:t>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DF1DD1">
        <w:rPr>
          <w:lang w:val="en-US"/>
        </w:rPr>
        <w:t xml:space="preserve">check </w:t>
      </w:r>
      <w:r w:rsidR="00FD776F">
        <w:rPr>
          <w:lang w:val="en-US"/>
        </w:rPr>
        <w:t xml:space="preserve">if all </w:t>
      </w:r>
      <w:r w:rsidR="00307B46">
        <w:rPr>
          <w:lang w:val="en-US"/>
        </w:rPr>
        <w:t>servers comply with the configuration baseline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76"/>
        <w:gridCol w:w="6106"/>
      </w:tblGrid>
      <w:tr w:rsidR="00F30AE7" w:rsidTr="00BC6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0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5B42AC" w:rsidTr="00BC6D7E">
        <w:tc>
          <w:tcPr>
            <w:tcW w:w="297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="00FD776F"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610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593430" w:rsidRPr="005B42AC" w:rsidTr="00BC6D7E">
        <w:tc>
          <w:tcPr>
            <w:tcW w:w="2976" w:type="dxa"/>
          </w:tcPr>
          <w:p w:rsidR="00593430" w:rsidRPr="00307B46" w:rsidRDefault="00593430" w:rsidP="00593430">
            <w:pPr>
              <w:rPr>
                <w:bCs/>
                <w:color w:val="auto"/>
                <w:lang w:val="en-US"/>
              </w:rPr>
            </w:pPr>
            <w:r w:rsidRPr="00307B46">
              <w:rPr>
                <w:bCs/>
                <w:color w:val="auto"/>
                <w:lang w:val="en-US"/>
              </w:rPr>
              <w:t xml:space="preserve">Step </w:t>
            </w:r>
            <w:r w:rsidR="00307B46" w:rsidRPr="00307B46">
              <w:rPr>
                <w:bCs/>
                <w:color w:val="auto"/>
                <w:lang w:val="en-US"/>
              </w:rPr>
              <w:t>2</w:t>
            </w:r>
            <w:r w:rsidRPr="00307B46">
              <w:rPr>
                <w:bCs/>
                <w:color w:val="auto"/>
                <w:lang w:val="en-US"/>
              </w:rPr>
              <w:t>:</w:t>
            </w:r>
          </w:p>
          <w:p w:rsidR="00FD776F" w:rsidRPr="00307B46" w:rsidRDefault="00307B46" w:rsidP="00FD776F">
            <w:pPr>
              <w:rPr>
                <w:color w:val="auto"/>
                <w:lang w:val="en-US"/>
              </w:rPr>
            </w:pPr>
            <w:r w:rsidRPr="00307B46">
              <w:rPr>
                <w:color w:val="auto"/>
                <w:lang w:val="en-US"/>
              </w:rPr>
              <w:t xml:space="preserve">Browse to X:\Logs and open the log file of </w:t>
            </w:r>
            <w:r>
              <w:rPr>
                <w:color w:val="auto"/>
                <w:lang w:val="en-US"/>
              </w:rPr>
              <w:t>today. Check if all servers are compliant with the baseline.</w:t>
            </w:r>
          </w:p>
          <w:p w:rsidR="00593430" w:rsidRPr="00307B46" w:rsidRDefault="00593430" w:rsidP="00593430">
            <w:pPr>
              <w:rPr>
                <w:bCs/>
                <w:color w:val="auto"/>
                <w:lang w:val="en-US"/>
              </w:rPr>
            </w:pPr>
          </w:p>
          <w:p w:rsidR="00593430" w:rsidRPr="009351FA" w:rsidRDefault="00593430" w:rsidP="0059343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905D6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 xml:space="preserve">to have this </w:t>
            </w:r>
            <w:r w:rsidR="00627604">
              <w:rPr>
                <w:bCs/>
                <w:color w:val="auto"/>
                <w:lang w:val="en-US"/>
              </w:rPr>
              <w:t>investigated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6106" w:type="dxa"/>
          </w:tcPr>
          <w:p w:rsidR="00593430" w:rsidRDefault="00307B46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&lt;SCRIPT </w:t>
            </w:r>
            <w:r w:rsidR="005B42AC">
              <w:rPr>
                <w:color w:val="auto"/>
                <w:lang w:val="en-US"/>
              </w:rPr>
              <w:t>MUST</w:t>
            </w:r>
            <w:bookmarkStart w:id="0" w:name="_GoBack"/>
            <w:bookmarkEnd w:id="0"/>
            <w:r>
              <w:rPr>
                <w:color w:val="auto"/>
                <w:lang w:val="en-US"/>
              </w:rPr>
              <w:t xml:space="preserve"> BE CREATED&gt;</w:t>
            </w:r>
          </w:p>
          <w:p w:rsidR="00307B46" w:rsidRDefault="00307B46" w:rsidP="002D1160">
            <w:pPr>
              <w:rPr>
                <w:color w:val="auto"/>
                <w:lang w:val="en-US"/>
              </w:rPr>
            </w:pPr>
          </w:p>
          <w:p w:rsidR="00307B46" w:rsidRPr="009351FA" w:rsidRDefault="00307B46" w:rsidP="002D116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&lt;POTENTIALLY USE DSC FOR THIS CHECK&gt;</w:t>
            </w:r>
          </w:p>
        </w:tc>
      </w:tr>
      <w:tr w:rsidR="002D1160" w:rsidRPr="005B42AC" w:rsidTr="00BC6D7E">
        <w:tc>
          <w:tcPr>
            <w:tcW w:w="2976" w:type="dxa"/>
          </w:tcPr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307B46">
              <w:rPr>
                <w:bCs/>
                <w:color w:val="auto"/>
                <w:lang w:val="en-US"/>
              </w:rPr>
              <w:t xml:space="preserve"> </w:t>
            </w:r>
            <w:r>
              <w:rPr>
                <w:bCs/>
                <w:color w:val="auto"/>
                <w:lang w:val="en-US"/>
              </w:rPr>
              <w:t>3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2D1160" w:rsidRPr="009351FA" w:rsidRDefault="002D1160" w:rsidP="002D1160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06" w:type="dxa"/>
          </w:tcPr>
          <w:p w:rsidR="002D1160" w:rsidRPr="009351FA" w:rsidRDefault="002D1160" w:rsidP="002D1160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307B46" w:rsidRPr="00C20314" w:rsidRDefault="00307B46" w:rsidP="00307B46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part of the Periodic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r w:rsidRPr="00C20314">
        <w:rPr>
          <w:lang w:val="en-US"/>
        </w:rPr>
        <w:t>.</w:t>
      </w:r>
    </w:p>
    <w:p w:rsidR="0046598A" w:rsidRPr="005B42AC" w:rsidRDefault="00F30AE7" w:rsidP="0046598A">
      <w:pPr>
        <w:pStyle w:val="Heading1"/>
        <w:rPr>
          <w:lang w:val="en-US"/>
        </w:rPr>
      </w:pPr>
      <w:r w:rsidRPr="005B42AC">
        <w:rPr>
          <w:lang w:val="en-US"/>
        </w:rPr>
        <w:t>resolution</w:t>
      </w:r>
    </w:p>
    <w:p w:rsidR="0046598A" w:rsidRPr="00307B46" w:rsidRDefault="002D1160" w:rsidP="002D1160">
      <w:pPr>
        <w:rPr>
          <w:lang w:val="en-US"/>
        </w:rPr>
      </w:pPr>
      <w:r w:rsidRPr="002D1160">
        <w:rPr>
          <w:lang w:val="en-US"/>
        </w:rPr>
        <w:t xml:space="preserve">When deviations of the </w:t>
      </w:r>
      <w:r w:rsidR="00307B46">
        <w:rPr>
          <w:lang w:val="en-US"/>
        </w:rPr>
        <w:t>configuration</w:t>
      </w:r>
      <w:r>
        <w:rPr>
          <w:lang w:val="en-US"/>
        </w:rPr>
        <w:t xml:space="preserve"> </w:t>
      </w:r>
      <w:r w:rsidRPr="002D1160">
        <w:rPr>
          <w:lang w:val="en-US"/>
        </w:rPr>
        <w:t xml:space="preserve">baseline </w:t>
      </w:r>
      <w:r>
        <w:rPr>
          <w:lang w:val="en-US"/>
        </w:rPr>
        <w:t xml:space="preserve">are found, determine how this has happened. Initiate a change to correct it as soon as possible, either by changing the </w:t>
      </w:r>
      <w:r w:rsidR="00307B46">
        <w:rPr>
          <w:lang w:val="en-US"/>
        </w:rPr>
        <w:t xml:space="preserve">settings </w:t>
      </w:r>
      <w:r>
        <w:rPr>
          <w:lang w:val="en-US"/>
        </w:rPr>
        <w:t xml:space="preserve">or by updating the </w:t>
      </w:r>
      <w:r w:rsidR="00307B46">
        <w:rPr>
          <w:lang w:val="en-US"/>
        </w:rPr>
        <w:t>configuration</w:t>
      </w:r>
      <w:r>
        <w:rPr>
          <w:lang w:val="en-US"/>
        </w:rPr>
        <w:t xml:space="preserve"> baseline.</w:t>
      </w:r>
    </w:p>
    <w:sectPr w:rsidR="0046598A" w:rsidRPr="00307B46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9F3" w:rsidRDefault="009309F3" w:rsidP="0046598A">
      <w:pPr>
        <w:spacing w:after="0" w:line="240" w:lineRule="auto"/>
      </w:pPr>
      <w:r>
        <w:separator/>
      </w:r>
    </w:p>
  </w:endnote>
  <w:endnote w:type="continuationSeparator" w:id="0">
    <w:p w:rsidR="009309F3" w:rsidRDefault="009309F3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9F3" w:rsidRDefault="009309F3" w:rsidP="0046598A">
      <w:pPr>
        <w:spacing w:after="0" w:line="240" w:lineRule="auto"/>
      </w:pPr>
      <w:r>
        <w:separator/>
      </w:r>
    </w:p>
  </w:footnote>
  <w:footnote w:type="continuationSeparator" w:id="0">
    <w:p w:rsidR="009309F3" w:rsidRDefault="009309F3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307B46">
      <w:rPr>
        <w:color w:val="2F5496" w:themeColor="accent1" w:themeShade="BF"/>
        <w:sz w:val="36"/>
      </w:rPr>
      <w:t>W03</w:t>
    </w:r>
    <w:r w:rsidR="002D1160">
      <w:rPr>
        <w:color w:val="2F5496" w:themeColor="accent1" w:themeShade="BF"/>
        <w:sz w:val="36"/>
      </w:rPr>
      <w:t xml:space="preserve"> </w:t>
    </w:r>
    <w:r w:rsidR="00BE1533">
      <w:rPr>
        <w:color w:val="2F5496" w:themeColor="accent1" w:themeShade="BF"/>
        <w:sz w:val="36"/>
      </w:rPr>
      <w:t xml:space="preserve">- </w:t>
    </w:r>
    <w:r w:rsidR="002D1160">
      <w:rPr>
        <w:color w:val="2F5496" w:themeColor="accent1" w:themeShade="BF"/>
        <w:sz w:val="36"/>
      </w:rPr>
      <w:t>Week</w:t>
    </w:r>
    <w:r w:rsidR="00BE1533">
      <w:rPr>
        <w:color w:val="2F5496" w:themeColor="accent1" w:themeShade="BF"/>
        <w:sz w:val="36"/>
      </w:rPr>
      <w:t xml:space="preserve">ly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51DC2"/>
    <w:rsid w:val="00150F2C"/>
    <w:rsid w:val="001609D3"/>
    <w:rsid w:val="001958D8"/>
    <w:rsid w:val="001C23CC"/>
    <w:rsid w:val="00212EDF"/>
    <w:rsid w:val="00255EB1"/>
    <w:rsid w:val="002D1160"/>
    <w:rsid w:val="002F0138"/>
    <w:rsid w:val="0030472E"/>
    <w:rsid w:val="00307B46"/>
    <w:rsid w:val="00336D50"/>
    <w:rsid w:val="00376338"/>
    <w:rsid w:val="00393594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5B42AC"/>
    <w:rsid w:val="0060753E"/>
    <w:rsid w:val="00623B7C"/>
    <w:rsid w:val="00627604"/>
    <w:rsid w:val="00662559"/>
    <w:rsid w:val="006B0108"/>
    <w:rsid w:val="006B77A2"/>
    <w:rsid w:val="00736064"/>
    <w:rsid w:val="0085749B"/>
    <w:rsid w:val="008905D6"/>
    <w:rsid w:val="00905103"/>
    <w:rsid w:val="009309F3"/>
    <w:rsid w:val="009351FA"/>
    <w:rsid w:val="00941BE3"/>
    <w:rsid w:val="00980D75"/>
    <w:rsid w:val="00A71D02"/>
    <w:rsid w:val="00A81885"/>
    <w:rsid w:val="00AA713E"/>
    <w:rsid w:val="00B332DE"/>
    <w:rsid w:val="00B378BD"/>
    <w:rsid w:val="00B45DD1"/>
    <w:rsid w:val="00B53324"/>
    <w:rsid w:val="00B820C3"/>
    <w:rsid w:val="00BB1950"/>
    <w:rsid w:val="00BB4A09"/>
    <w:rsid w:val="00BC6D7E"/>
    <w:rsid w:val="00BE1533"/>
    <w:rsid w:val="00C03D67"/>
    <w:rsid w:val="00C16D94"/>
    <w:rsid w:val="00C205E1"/>
    <w:rsid w:val="00C43681"/>
    <w:rsid w:val="00C540B6"/>
    <w:rsid w:val="00C553FB"/>
    <w:rsid w:val="00D05EAC"/>
    <w:rsid w:val="00D15A9A"/>
    <w:rsid w:val="00DF1DD1"/>
    <w:rsid w:val="00E503D2"/>
    <w:rsid w:val="00EA3641"/>
    <w:rsid w:val="00EE6C86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2017-09-15T09:11:00Z</dcterms:created>
  <dcterms:modified xsi:type="dcterms:W3CDTF">2017-09-15T12:12:00Z</dcterms:modified>
</cp:coreProperties>
</file>