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after="160"/>
      </w:pPr>
      <w:r>
        <w:rPr>
          <w:rFonts w:ascii="Calibri" w:hAnsi="Calibri"/>
          <w:b/>
          <w:i w:val="0"/>
          <w:color w:val="EE6B4D"/>
          <w:sz w:val="20"/>
        </w:rPr>
        <w:t>CUSTOMER ONBOARDING BRIEF</w:t>
      </w:r>
    </w:p>
    <w:p>
      <w:pPr>
        <w:pStyle w:val="Title"/>
        <w:keepNext/>
        <w:spacing w:before="0" w:after="120"/>
      </w:pPr>
      <w:r>
        <w:rPr>
          <w:rFonts w:ascii="Calibri" w:hAnsi="Calibri"/>
          <w:b/>
          <w:i w:val="0"/>
          <w:color w:val="0B2545"/>
          <w:sz w:val="56"/>
        </w:rPr>
        <w:t>Denali Proof of Concept</w:t>
      </w:r>
    </w:p>
    <w:p>
      <w:pPr>
        <w:spacing w:after="360"/>
      </w:pPr>
      <w:r>
        <w:t>BEEAH Azure Entra Azure Repos and Foundry onboarding plan</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820"/>
        <w:gridCol w:w="2600"/>
        <w:gridCol w:w="2200"/>
        <w:gridCol w:w="1740"/>
      </w:tblGrid>
      <w:tr>
        <w:trPr>
          <w:tblHeader/>
          <w:cantSplit/>
        </w:trPr>
        <w:tc>
          <w:tcPr>
            <w:tcW w:type="dxa" w:w="282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Prepared for</w:t>
            </w:r>
          </w:p>
        </w:tc>
        <w:tc>
          <w:tcPr>
            <w:tcW w:type="dxa" w:w="26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Document status</w:t>
            </w:r>
          </w:p>
        </w:tc>
        <w:tc>
          <w:tcPr>
            <w:tcW w:type="dxa" w:w="22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Date</w:t>
            </w:r>
          </w:p>
        </w:tc>
        <w:tc>
          <w:tcPr>
            <w:tcW w:type="dxa" w:w="174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Version</w:t>
            </w:r>
          </w:p>
        </w:tc>
      </w:tr>
      <w:tr>
        <w:trPr>
          <w:cantSplit/>
        </w:trPr>
        <w:tc>
          <w:tcPr>
            <w:tcW w:type="dxa" w:w="2820"/>
            <w:vAlign w:val="center"/>
            <w:tcMar>
              <w:top w:w="80" w:type="dxa"/>
              <w:start w:w="120" w:type="dxa"/>
              <w:bottom w:w="80" w:type="dxa"/>
              <w:end w:w="120" w:type="dxa"/>
            </w:tcMar>
            <w:shd w:fill="F2F4F7"/>
          </w:tcPr>
          <w:p>
            <w:pPr>
              <w:spacing w:before="0" w:after="0" w:line="269" w:lineRule="auto"/>
              <w:jc w:val="left"/>
            </w:pPr>
            <w:r>
              <w:rPr>
                <w:rFonts w:ascii="Calibri" w:hAnsi="Calibri"/>
                <w:b w:val="0"/>
                <w:i w:val="0"/>
                <w:color w:val="233044"/>
                <w:sz w:val="18"/>
              </w:rPr>
              <w:t>BEEAH Chief Information Security Officer</w:t>
            </w:r>
          </w:p>
        </w:tc>
        <w:tc>
          <w:tcPr>
            <w:tcW w:type="dxa" w:w="2600"/>
            <w:vAlign w:val="center"/>
            <w:tcMar>
              <w:top w:w="80" w:type="dxa"/>
              <w:start w:w="120" w:type="dxa"/>
              <w:bottom w:w="80" w:type="dxa"/>
              <w:end w:w="120" w:type="dxa"/>
            </w:tcMar>
            <w:shd w:fill="F2F4F7"/>
          </w:tcPr>
          <w:p>
            <w:pPr>
              <w:spacing w:before="0" w:after="0" w:line="269" w:lineRule="auto"/>
              <w:jc w:val="left"/>
            </w:pPr>
            <w:r>
              <w:rPr>
                <w:rFonts w:ascii="Calibri" w:hAnsi="Calibri"/>
                <w:b w:val="0"/>
                <w:i w:val="0"/>
                <w:color w:val="233044"/>
                <w:sz w:val="18"/>
              </w:rPr>
              <w:t>Ready for controlled onboarding</w:t>
            </w:r>
          </w:p>
        </w:tc>
        <w:tc>
          <w:tcPr>
            <w:tcW w:type="dxa" w:w="2200"/>
            <w:vAlign w:val="center"/>
            <w:tcMar>
              <w:top w:w="80" w:type="dxa"/>
              <w:start w:w="120" w:type="dxa"/>
              <w:bottom w:w="80" w:type="dxa"/>
              <w:end w:w="120" w:type="dxa"/>
            </w:tcMar>
            <w:shd w:fill="F2F4F7"/>
          </w:tcPr>
          <w:p>
            <w:r>
              <w:t>14 September 2026</w:t>
            </w:r>
          </w:p>
        </w:tc>
        <w:tc>
          <w:tcPr>
            <w:tcW w:type="dxa" w:w="1740"/>
            <w:vAlign w:val="center"/>
            <w:tcMar>
              <w:top w:w="80" w:type="dxa"/>
              <w:start w:w="120" w:type="dxa"/>
              <w:bottom w:w="80" w:type="dxa"/>
              <w:end w:w="120" w:type="dxa"/>
            </w:tcMar>
            <w:shd w:fill="F2F4F7"/>
          </w:tcPr>
          <w:p>
            <w:r>
              <w:t>0.5</w:t>
            </w:r>
          </w:p>
        </w:tc>
      </w:tr>
    </w:tbl>
    <w:p>
      <w:pPr>
        <w:spacing w:after="40"/>
      </w:pPr>
    </w:p>
    <w:p>
      <w:pPr>
        <w:pStyle w:val="Heading1"/>
        <w:keepNext/>
        <w:pageBreakBefore w:val="0"/>
      </w:pPr>
      <w:r>
        <w:rPr>
          <w:rFonts w:ascii="Calibri" w:hAnsi="Calibri"/>
          <w:b/>
          <w:i w:val="0"/>
          <w:color w:val="2E74B5"/>
          <w:sz w:val="32"/>
        </w:rPr>
        <w:t>Executive summary</w:t>
      </w:r>
    </w:p>
    <w:p>
      <w:pPr>
        <w:keepLines w:val="0"/>
        <w:spacing w:before="0" w:after="120" w:line="300" w:lineRule="auto"/>
      </w:pPr>
      <w:r>
        <w:t>Denali is ready to begin a controlled BEEAH proof of concept covering explicitly selected Azure subscriptions, Microsoft Entra application discovery, exact Azure Repos repositories and, if BEEAH chooses it, metadata-only Azure Foundry runtime activity. The production integrations support separate validation and collection with explicit coverage states. BEEAH supplies identifiers and grants bounded read access; it does not upload cloud credentials, access tokens, private keys or Azure DevOps personal access tokens.</w:t>
      </w:r>
    </w:p>
    <w:p>
      <w:pPr>
        <w:keepLines w:val="0"/>
        <w:spacing w:before="0" w:after="120" w:line="300" w:lineRule="auto"/>
      </w:pPr>
      <w:r>
        <w:t>The Microsoft capability covers Entra enterprise applications, service principals, permission grants, sign-ins and application-management audits. Azure Repos adds read-only source evidence for repositories that BEEAH selects explicitly. Optional Azure Foundry runtime collection reads an allowlisted metadata projection from customer-enabled Application Insights tracing and presents ordered agent, model and tool activity. An optional vulnerability workstream can attach matching native Syft and Grype reports to an independently observed workload without granting repository access. These connections do not collect Exchange mailbox content, SharePoint or OneDrive files, Teams messages, or Microsoft 365 Copilot prompts, responses or usage telemetry.</w:t>
      </w:r>
    </w:p>
    <w:p>
      <w:pPr>
        <w:spacing w:before="100" w:after="200" w:line="283" w:lineRule="auto"/>
        <w:ind w:left="202" w:right="115"/>
        <w:shd w:fill="FFF1EC"/>
        <w:keepLines/>
        <w:pBdr>
          <w:left w:val="single" w:sz="22" w:space="8" w:color="EE6B4D"/>
        </w:pBdr>
      </w:pPr>
      <w:r>
        <w:rPr>
          <w:b/>
        </w:rPr>
        <w:t xml:space="preserve">APPROVAL REQUESTED  </w:t>
      </w:r>
      <w:r>
        <w:t>Approve a time-bounded, read-only sandbox POC and authorize the named BEEAH administrators to complete Azure setup, Entra admin consent and Azure Repos authorization after reviewing the application identities, selected scopes and data-handling terms. If Foundry runtime activity is included, approve the named projects and Application Insights resources and retain customer control of tracing and retention.</w:t>
      </w:r>
    </w:p>
    <w:p>
      <w:pPr>
        <w:pStyle w:val="Heading2"/>
        <w:keepNext/>
        <w:pageBreakBefore w:val="0"/>
      </w:pPr>
      <w:r>
        <w:rPr>
          <w:rFonts w:ascii="Calibri" w:hAnsi="Calibri"/>
          <w:b/>
          <w:i w:val="0"/>
          <w:color w:val="2E74B5"/>
          <w:sz w:val="26"/>
        </w:rPr>
        <w:t>What BEEAH is not being asked to do</w:t>
      </w:r>
    </w:p>
    <w:p>
      <w:pPr>
        <w:keepLines w:val="0"/>
        <w:numPr>
          <w:ilvl w:val="0"/>
          <w:numId w:val="51"/>
        </w:numPr>
        <w:spacing w:before="0" w:after="80" w:line="300" w:lineRule="auto"/>
      </w:pPr>
      <w:r>
        <w:rPr>
          <w:rFonts w:ascii="Calibri" w:hAnsi="Calibri"/>
          <w:b w:val="0"/>
          <w:i w:val="0"/>
          <w:color w:val="233044"/>
          <w:sz w:val="22"/>
        </w:rPr>
        <w:t>Provide an Azure password, client secret, certificate, refresh token or CLI token.</w:t>
      </w:r>
    </w:p>
    <w:p>
      <w:pPr>
        <w:keepLines w:val="0"/>
        <w:numPr>
          <w:ilvl w:val="0"/>
          <w:numId w:val="51"/>
        </w:numPr>
        <w:spacing w:before="0" w:after="80" w:line="300" w:lineRule="auto"/>
      </w:pPr>
      <w:r>
        <w:rPr>
          <w:rFonts w:ascii="Calibri" w:hAnsi="Calibri"/>
          <w:b w:val="0"/>
          <w:i w:val="0"/>
          <w:color w:val="233044"/>
          <w:sz w:val="22"/>
        </w:rPr>
        <w:t>Create a broad tenant-wide Azure role assignment or include production subscriptions by default.</w:t>
      </w:r>
    </w:p>
    <w:p>
      <w:pPr>
        <w:keepLines w:val="0"/>
        <w:numPr>
          <w:ilvl w:val="0"/>
          <w:numId w:val="51"/>
        </w:numPr>
        <w:spacing w:before="0" w:after="80" w:line="300" w:lineRule="auto"/>
      </w:pPr>
      <w:r>
        <w:rPr>
          <w:rFonts w:ascii="Calibri" w:hAnsi="Calibri"/>
          <w:b w:val="0"/>
          <w:i w:val="0"/>
          <w:color w:val="233044"/>
          <w:sz w:val="22"/>
        </w:rPr>
        <w:t>Provide an Azure DevOps personal access token, refresh token or repository clone credential.</w:t>
      </w:r>
    </w:p>
    <w:p>
      <w:pPr>
        <w:keepLines w:val="0"/>
        <w:numPr>
          <w:ilvl w:val="0"/>
          <w:numId w:val="51"/>
        </w:numPr>
        <w:spacing w:before="0" w:after="80" w:line="300" w:lineRule="auto"/>
      </w:pPr>
      <w:r>
        <w:t>Authorize access to Exchange mailboxes, SharePoint or OneDrive files, Teams messages, Microsoft 365 Copilot prompts or responses, Foundry prompt or response content, system instructions, tool arguments or results, workload secret values, or other customer content.</w:t>
      </w:r>
    </w:p>
    <w:p/>
    <w:p>
      <w:pPr>
        <w:pStyle w:val="Heading1"/>
        <w:keepNext/>
        <w:pageBreakBefore w:val="0"/>
      </w:pPr>
      <w:r>
        <w:rPr>
          <w:rFonts w:ascii="Calibri" w:hAnsi="Calibri"/>
          <w:b/>
          <w:i w:val="0"/>
          <w:color w:val="2E74B5"/>
          <w:sz w:val="32"/>
        </w:rPr>
        <w:t>1 Proposed POC scope</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700"/>
        <w:gridCol w:w="3300"/>
        <w:gridCol w:w="4360"/>
      </w:tblGrid>
      <w:tr>
        <w:trPr>
          <w:tblHeader/>
          <w:cantSplit/>
        </w:trPr>
        <w:tc>
          <w:tcPr>
            <w:tcW w:type="dxa" w:w="17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Workstream</w:t>
            </w:r>
          </w:p>
        </w:tc>
        <w:tc>
          <w:tcPr>
            <w:tcW w:type="dxa" w:w="33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Proposed scope</w:t>
            </w:r>
          </w:p>
        </w:tc>
        <w:tc>
          <w:tcPr>
            <w:tcW w:type="dxa" w:w="43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Evidence expected</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cloud</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One or more explicitly selected sandbox subscriptions; all Azure locations within those subscriptions.</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AI services accounts, AI Search, Machine Learning workspaces, Bot Service, management Activity Log, Container Apps, Function Apps and AKS inventory, with independent coverage for each enabled plane.</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Entra application discovery</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Separate tenant-wide application-only admin consent for the BEEAH tenant.</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Catalog-matched enterprise applications, service principals, delegated grants, application roles, sign-ins and application-management audits. This is identity and audit metadata, not Microsoft 365 workload content or Copilot usage telemetry.</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Repos</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One Azure DevOps organization and only the exact projects and repositories approved for the POC.</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Repository and project identity, default branch and immutable commit evidence, bounded source inventory, repository posture findings and eligible code-to-cloud correlation. Missing or partial access remains visible.</w:t>
            </w:r>
          </w:p>
        </w:tc>
      </w:tr>
      <w:tr>
        <w:trPr>
          <w:cantSplit/>
        </w:trPr>
        <w:tc>
          <w:tcPr>
            <w:tcW w:type="dxa" w:w="1700"/>
            <w:vAlign w:val="center"/>
            <w:tcMar>
              <w:top w:w="80" w:type="dxa"/>
              <w:start w:w="120" w:type="dxa"/>
              <w:bottom w:w="80" w:type="dxa"/>
              <w:end w:w="120" w:type="dxa"/>
            </w:tcMar>
          </w:tcPr>
          <w:p>
            <w:r>
              <w:t>Azure Foundry runtime activity</w:t>
            </w:r>
          </w:p>
        </w:tc>
        <w:tc>
          <w:tcPr>
            <w:tcW w:type="dxa" w:w="3300"/>
            <w:vAlign w:val="center"/>
            <w:tcMar>
              <w:top w:w="80" w:type="dxa"/>
              <w:start w:w="120" w:type="dxa"/>
              <w:bottom w:w="80" w:type="dxa"/>
              <w:end w:w="120" w:type="dxa"/>
            </w:tcMar>
          </w:tcPr>
          <w:p>
            <w:r>
              <w:t>Optional: only the exact sandbox subscriptions and Foundry projects approved for the POC, with customer-enabled tracing to Application Insights.</w:t>
            </w:r>
          </w:p>
        </w:tc>
        <w:tc>
          <w:tcPr>
            <w:tcW w:type="dxa" w:w="4360"/>
            <w:vAlign w:val="center"/>
            <w:tcMar>
              <w:top w:w="80" w:type="dxa"/>
              <w:start w:w="120" w:type="dxa"/>
              <w:bottom w:w="80" w:type="dxa"/>
              <w:end w:w="120" w:type="dxa"/>
            </w:tcMar>
          </w:tcPr>
          <w:p>
            <w:r>
              <w:t>Ordered agent, model and tool metadata with exact trace/span hierarchy, outcome and coverage. Prompt, response, system-instruction and tool payload content is not requested or retained.</w:t>
            </w:r>
          </w:p>
        </w:tc>
      </w:tr>
      <w:tr>
        <w:trPr>
          <w:cantSplit/>
        </w:trPr>
        <w:tc>
          <w:tcPr>
            <w:tcW w:type="dxa" w:w="1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Vulnerability evidence</w:t>
            </w:r>
          </w:p>
        </w:tc>
        <w:tc>
          <w:tcPr>
            <w:tcW w:type="dxa" w:w="33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Optional in phase 1 or phase 2 for an independently observed workload. A BEEAH organization admin submits one matching native Syft report and one native Grype report, each no larger than 16 MiB.</w:t>
            </w:r>
          </w:p>
        </w:tc>
        <w:tc>
          <w:tcPr>
            <w:tcW w:type="dxa" w:w="4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Normalized component occurrences, containment relationships, vulnerability matches, fix and exploit status, scanner provenance and explicit scan coverage. Raw reports are deleted after terminal processing.</w:t>
            </w:r>
          </w:p>
        </w:tc>
      </w:tr>
    </w:tbl>
    <w:p>
      <w:pPr>
        <w:spacing w:after="40"/>
      </w:pPr>
    </w:p>
    <w:p>
      <w:pPr>
        <w:pStyle w:val="Heading2"/>
        <w:keepNext/>
        <w:pageBreakBefore w:val="0"/>
      </w:pPr>
      <w:r>
        <w:rPr>
          <w:rFonts w:ascii="Calibri" w:hAnsi="Calibri"/>
          <w:b/>
          <w:i w:val="0"/>
          <w:color w:val="2E74B5"/>
          <w:sz w:val="26"/>
        </w:rPr>
        <w:t>Out of scope unless separately approved</w:t>
      </w:r>
    </w:p>
    <w:p>
      <w:pPr>
        <w:keepLines w:val="0"/>
        <w:numPr>
          <w:ilvl w:val="0"/>
          <w:numId w:val="51"/>
        </w:numPr>
        <w:spacing w:before="0" w:after="80" w:line="300" w:lineRule="auto"/>
      </w:pPr>
      <w:r>
        <w:rPr>
          <w:rFonts w:ascii="Calibri" w:hAnsi="Calibri"/>
          <w:b w:val="0"/>
          <w:i w:val="0"/>
          <w:color w:val="233044"/>
          <w:sz w:val="22"/>
        </w:rPr>
        <w:t>Production subscriptions, tenants, projects, repositories or resource groups not named in the agreed scope.</w:t>
      </w:r>
    </w:p>
    <w:p>
      <w:pPr>
        <w:keepLines w:val="0"/>
        <w:numPr>
          <w:ilvl w:val="0"/>
          <w:numId w:val="51"/>
        </w:numPr>
        <w:spacing w:before="0" w:after="80" w:line="300" w:lineRule="auto"/>
      </w:pPr>
      <w:r>
        <w:rPr>
          <w:rFonts w:ascii="Calibri" w:hAnsi="Calibri"/>
          <w:b w:val="0"/>
          <w:i w:val="0"/>
          <w:color w:val="233044"/>
          <w:sz w:val="22"/>
        </w:rPr>
        <w:t>Automated remediation, configuration changes, resource deployment or deletion.</w:t>
      </w:r>
    </w:p>
    <w:p>
      <w:pPr>
        <w:keepLines w:val="0"/>
        <w:numPr>
          <w:ilvl w:val="0"/>
          <w:numId w:val="51"/>
        </w:numPr>
        <w:spacing w:before="0" w:after="80" w:line="300" w:lineRule="auto"/>
      </w:pPr>
      <w:r>
        <w:rPr>
          <w:rFonts w:ascii="Calibri" w:hAnsi="Calibri"/>
          <w:b w:val="0"/>
          <w:i w:val="0"/>
          <w:color w:val="233044"/>
          <w:sz w:val="22"/>
        </w:rPr>
        <w:t>Workload data-plane access, prompt/response content, model inputs/outputs, secret values or customer payloads.</w:t>
      </w:r>
    </w:p>
    <w:p>
      <w:pPr>
        <w:keepLines w:val="0"/>
        <w:numPr>
          <w:ilvl w:val="0"/>
          <w:numId w:val="51"/>
        </w:numPr>
        <w:spacing w:before="0" w:after="80" w:line="300" w:lineRule="auto"/>
      </w:pPr>
      <w:r>
        <w:rPr>
          <w:rFonts w:ascii="Calibri" w:hAnsi="Calibri"/>
          <w:b w:val="0"/>
          <w:i w:val="0"/>
          <w:color w:val="233044"/>
          <w:sz w:val="22"/>
        </w:rPr>
        <w:t>General-purpose repository mirroring or retention of arbitrary raw source snapshots.</w:t>
      </w:r>
    </w:p>
    <w:p>
      <w:pPr>
        <w:pStyle w:val="Heading1"/>
        <w:keepNext/>
        <w:pageBreakBefore w:val="0"/>
      </w:pPr>
      <w:r>
        <w:rPr>
          <w:rFonts w:ascii="Calibri" w:hAnsi="Calibri"/>
          <w:b/>
          <w:i w:val="0"/>
          <w:color w:val="2E74B5"/>
          <w:sz w:val="32"/>
        </w:rPr>
        <w:t>2 Pre kickoff readiness</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1900"/>
        <w:gridCol w:w="1500"/>
        <w:gridCol w:w="5960"/>
      </w:tblGrid>
      <w:tr>
        <w:trPr>
          <w:tblHeader/>
          <w:cantSplit/>
        </w:trPr>
        <w:tc>
          <w:tcPr>
            <w:tcW w:type="dxa" w:w="19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Area</w:t>
            </w:r>
          </w:p>
        </w:tc>
        <w:tc>
          <w:tcPr>
            <w:tcW w:type="dxa" w:w="15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Status</w:t>
            </w:r>
          </w:p>
        </w:tc>
        <w:tc>
          <w:tcPr>
            <w:tcW w:type="dxa" w:w="59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Gate before BEEAH action</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Hosted core</w:t>
            </w:r>
          </w:p>
        </w:tc>
        <w:tc>
          <w:tcPr>
            <w:tcW w:type="dxa" w:w="1500"/>
            <w:shd w:fill="EAF5EE"/>
            <w:vAlign w:val="center"/>
            <w:tcMar>
              <w:top w:w="80" w:type="dxa"/>
              <w:start w:w="120" w:type="dxa"/>
              <w:bottom w:w="80" w:type="dxa"/>
              <w:end w:w="120" w:type="dxa"/>
            </w:tcMar>
          </w:tcPr>
          <w:p>
            <w:pPr>
              <w:spacing w:before="0" w:after="0" w:line="269" w:lineRule="auto"/>
              <w:jc w:val="left"/>
            </w:pPr>
            <w:r>
              <w:rPr>
                <w:rFonts w:ascii="Calibri" w:hAnsi="Calibri"/>
                <w:b/>
                <w:i w:val="0"/>
                <w:color w:val="2D7F4E"/>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Production authentication, organization isolation, admin and member authorization, and non-empty tenant evidence are operational. Create the BEEAH organization and invite the initial BEEAH administrator before provider setup.</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cloud</w:t>
            </w:r>
          </w:p>
        </w:tc>
        <w:tc>
          <w:tcPr>
            <w:tcW w:type="dxa" w:w="1500"/>
            <w:shd w:fill="EAF5EE"/>
            <w:vAlign w:val="center"/>
            <w:tcMar>
              <w:top w:w="80" w:type="dxa"/>
              <w:start w:w="120" w:type="dxa"/>
              <w:bottom w:w="80" w:type="dxa"/>
              <w:end w:w="120" w:type="dxa"/>
            </w:tcMar>
          </w:tcPr>
          <w:p>
            <w:pPr>
              <w:spacing w:before="0" w:after="0" w:line="269" w:lineRule="auto"/>
              <w:jc w:val="left"/>
            </w:pPr>
            <w:r>
              <w:rPr>
                <w:rFonts w:ascii="Calibri" w:hAnsi="Calibri"/>
                <w:b/>
                <w:i w:val="0"/>
                <w:color w:val="2D7F4E"/>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production multi-tenant application, private Cloud Shell script, validation and collection paths are operational. BEEAH must review the application identity and select only the approved subscriptions.</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Entra</w:t>
            </w:r>
          </w:p>
        </w:tc>
        <w:tc>
          <w:tcPr>
            <w:tcW w:type="dxa" w:w="1500"/>
            <w:shd w:fill="EAF5EE"/>
            <w:vAlign w:val="center"/>
            <w:tcMar>
              <w:top w:w="80" w:type="dxa"/>
              <w:start w:w="120" w:type="dxa"/>
              <w:bottom w:w="80" w:type="dxa"/>
              <w:end w:w="120" w:type="dxa"/>
            </w:tcMar>
          </w:tcPr>
          <w:p>
            <w:pPr>
              <w:spacing w:before="0" w:after="0" w:line="269" w:lineRule="auto"/>
              <w:jc w:val="left"/>
            </w:pPr>
            <w:r>
              <w:rPr>
                <w:rFonts w:ascii="Calibri" w:hAnsi="Calibri"/>
                <w:b/>
                <w:i w:val="0"/>
                <w:color w:val="2D7F4E"/>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production admin-consent callback, validation and collection paths are operational. A BEEAH Global Administrator must review Directory.Read.All and AuditLog.Read.All before granting tenant-wide consent.</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Repos</w:t>
            </w:r>
          </w:p>
        </w:tc>
        <w:tc>
          <w:tcPr>
            <w:tcW w:type="dxa" w:w="1500"/>
            <w:shd w:fill="F2F4F7"/>
            <w:vAlign w:val="center"/>
            <w:tcMar>
              <w:top w:w="80" w:type="dxa"/>
              <w:start w:w="120" w:type="dxa"/>
              <w:bottom w:w="80" w:type="dxa"/>
              <w:end w:w="120" w:type="dxa"/>
            </w:tcMar>
          </w:tcPr>
          <w:p>
            <w:pPr>
              <w:spacing w:before="0" w:after="0" w:line="269" w:lineRule="auto"/>
              <w:jc w:val="left"/>
            </w:pPr>
            <w:r>
              <w:rPr>
                <w:rFonts w:ascii="Calibri" w:hAnsi="Calibri"/>
                <w:b/>
                <w:i w:val="0"/>
                <w:color w:val="5F6B7A"/>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production Azure Repos callback, exact repository selection, validation and collection paths are operational. BEEAH must connect the Azure DevOps organization to the correct Entra tenant, add Denali's service principal with Basic access and grant Reader access only to the approved projects or repositories.</w:t>
            </w:r>
          </w:p>
        </w:tc>
      </w:tr>
      <w:tr>
        <w:trPr>
          <w:cantSplit/>
        </w:trPr>
        <w:tc>
          <w:tcPr>
            <w:tcW w:type="dxa" w:w="1900"/>
            <w:vAlign w:val="center"/>
            <w:tcMar>
              <w:top w:w="80" w:type="dxa"/>
              <w:start w:w="120" w:type="dxa"/>
              <w:bottom w:w="80" w:type="dxa"/>
              <w:end w:w="120" w:type="dxa"/>
            </w:tcMar>
          </w:tcPr>
          <w:p>
            <w:r>
              <w:t>Azure Foundry runtime</w:t>
            </w:r>
          </w:p>
        </w:tc>
        <w:tc>
          <w:tcPr>
            <w:tcW w:type="dxa" w:w="1500"/>
            <w:shd w:fill="F2F4F7"/>
            <w:vAlign w:val="center"/>
            <w:tcMar>
              <w:top w:w="80" w:type="dxa"/>
              <w:start w:w="120" w:type="dxa"/>
              <w:bottom w:w="80" w:type="dxa"/>
              <w:end w:w="120" w:type="dxa"/>
            </w:tcMar>
          </w:tcPr>
          <w:p>
            <w:r>
              <w:t>Ready</w:t>
            </w:r>
          </w:p>
        </w:tc>
        <w:tc>
          <w:tcPr>
            <w:tcW w:type="dxa" w:w="5960"/>
            <w:vAlign w:val="center"/>
            <w:tcMar>
              <w:top w:w="80" w:type="dxa"/>
              <w:start w:w="120" w:type="dxa"/>
              <w:bottom w:w="80" w:type="dxa"/>
              <w:end w:w="120" w:type="dxa"/>
            </w:tcMar>
          </w:tcPr>
          <w:p>
            <w:r>
              <w:t>Production metadata-only collection and the Agent Execution Graph were accepted against an experimental reference agent on 14 September 2026. BEEAH must explicitly select the runtime plane, approved projects and telemetry resources, and must enable and govern tracing itself.</w:t>
            </w:r>
          </w:p>
        </w:tc>
      </w:tr>
      <w:tr>
        <w:trPr>
          <w:cantSplit/>
        </w:trPr>
        <w:tc>
          <w:tcPr>
            <w:tcW w:type="dxa" w:w="19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Vulnerability evidence</w:t>
            </w:r>
          </w:p>
        </w:tc>
        <w:tc>
          <w:tcPr>
            <w:tcW w:type="dxa" w:w="1500"/>
            <w:shd w:fill="F2F4F7"/>
            <w:vAlign w:val="center"/>
            <w:tcMar>
              <w:top w:w="80" w:type="dxa"/>
              <w:start w:w="120" w:type="dxa"/>
              <w:bottom w:w="80" w:type="dxa"/>
              <w:end w:w="120" w:type="dxa"/>
            </w:tcMar>
          </w:tcPr>
          <w:p>
            <w:pPr>
              <w:spacing w:before="0" w:after="0" w:line="269" w:lineRule="auto"/>
              <w:jc w:val="left"/>
            </w:pPr>
            <w:r>
              <w:rPr>
                <w:rFonts w:ascii="Calibri" w:hAnsi="Calibri"/>
                <w:b/>
                <w:i w:val="0"/>
                <w:color w:val="5F6B7A"/>
                <w:sz w:val="18"/>
              </w:rPr>
              <w:t>Ready</w:t>
            </w:r>
          </w:p>
        </w:tc>
        <w:tc>
          <w:tcPr>
            <w:tcW w:type="dxa" w:w="59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The hosted organization-admin import and durable processing path are operational. BEEAH must first collect the target cloud workload and produce matching native Syft and Grype reports for the same deployed artifact. Azure Pipelines submission is not automated in this release.</w:t>
            </w:r>
          </w:p>
        </w:tc>
      </w:tr>
    </w:tbl>
    <w:p>
      <w:pPr>
        <w:spacing w:after="40"/>
      </w:pPr>
    </w:p>
    <w:p>
      <w:pPr>
        <w:spacing w:before="100" w:after="200" w:line="283" w:lineRule="auto"/>
        <w:ind w:left="202" w:right="115"/>
        <w:shd w:fill="E8EEF5"/>
        <w:keepLines/>
        <w:pBdr>
          <w:left w:val="single" w:sz="22" w:space="8" w:color="2E74B5"/>
        </w:pBdr>
      </w:pPr>
      <w:r>
        <w:rPr>
          <w:b/>
        </w:rPr>
        <w:t xml:space="preserve">DECISION POINT  </w:t>
      </w:r>
      <w:r>
        <w:t>Proceed with Azure control-plane evidence, Microsoft Entra application discovery and exact Azure Repos source evidence in phase 1. Include Azure Foundry runtime metadata only for explicitly approved projects with customer-managed tracing. Include scanner evidence in phase 1 or phase 2 only when BEEAH can produce a matching Syft and Grype pair for an observed workload. Microsoft 365 workload and Copilot telemetry remain outside scope unless separately approved.</w:t>
      </w:r>
    </w:p>
    <w:p>
      <w:pPr>
        <w:pStyle w:val="Heading1"/>
        <w:keepNext/>
        <w:pageBreakBefore w:val="0"/>
      </w:pPr>
      <w:r>
        <w:rPr>
          <w:rFonts w:ascii="Calibri" w:hAnsi="Calibri"/>
          <w:b/>
          <w:i w:val="0"/>
          <w:color w:val="2E74B5"/>
          <w:sz w:val="32"/>
        </w:rPr>
        <w:t>3 Security and tenancy model</w:t>
      </w:r>
    </w:p>
    <w:p>
      <w:pPr>
        <w:keepLines w:val="0"/>
        <w:spacing w:before="0" w:after="120" w:line="300" w:lineRule="auto"/>
      </w:pPr>
      <w:r>
        <w:rPr>
          <w:rFonts w:ascii="Calibri" w:hAnsi="Calibri"/>
          <w:b w:val="0"/>
          <w:i w:val="0"/>
          <w:color w:val="233044"/>
          <w:sz w:val="22"/>
        </w:rPr>
        <w:t>BEEAH users access Denali through https://denali.transilience.cloud. The browser calls only same-origin /api endpoints; it does not call the application runtime or database directly. Authentication and the active customer organization are resolved by the API, which maps the organization to a separate internal tenant UUID. Client-supplied tenant selectors are not trusted.</w:t>
      </w:r>
    </w:p>
    <w:p>
      <w:pPr>
        <w:keepLines w:val="0"/>
        <w:spacing w:before="0" w:after="120" w:line="300" w:lineRule="auto"/>
      </w:pPr>
      <w:r>
        <w:rPr>
          <w:rFonts w:ascii="Calibri" w:hAnsi="Calibri"/>
          <w:b w:val="0"/>
          <w:i w:val="0"/>
          <w:color w:val="233044"/>
          <w:sz w:val="22"/>
        </w:rPr>
        <w:t>Within Denali, organization members are read-only. Only organization administrators may create, validate, disable or delete connections and change governance decisions. BEEAH should nominate at least one admin and one member so the POC can verify both roles.</w:t>
      </w:r>
    </w:p>
    <w:p>
      <w:pPr>
        <w:pStyle w:val="Heading2"/>
        <w:keepNext/>
        <w:pageBreakBefore w:val="0"/>
      </w:pPr>
      <w:r>
        <w:rPr>
          <w:rFonts w:ascii="Calibri" w:hAnsi="Calibri"/>
          <w:b/>
          <w:i w:val="0"/>
          <w:color w:val="2E74B5"/>
          <w:sz w:val="26"/>
        </w:rPr>
        <w:t>Data retained for evidence</w:t>
      </w:r>
    </w:p>
    <w:p>
      <w:pPr>
        <w:keepLines w:val="0"/>
        <w:numPr>
          <w:ilvl w:val="0"/>
          <w:numId w:val="51"/>
        </w:numPr>
        <w:spacing w:before="0" w:after="80" w:line="300" w:lineRule="auto"/>
      </w:pPr>
      <w:r>
        <w:rPr>
          <w:rFonts w:ascii="Calibri" w:hAnsi="Calibri"/>
          <w:b w:val="0"/>
          <w:i w:val="0"/>
          <w:color w:val="233044"/>
          <w:sz w:val="22"/>
        </w:rPr>
        <w:t>BEEAH tenant, selected subscription and Azure DevOps organization, project and repository identifiers, names and scopes.</w:t>
      </w:r>
    </w:p>
    <w:p>
      <w:pPr>
        <w:keepLines w:val="0"/>
        <w:numPr>
          <w:ilvl w:val="0"/>
          <w:numId w:val="51"/>
        </w:numPr>
        <w:spacing w:before="0" w:after="80" w:line="300" w:lineRule="auto"/>
      </w:pPr>
      <w:r>
        <w:t>Provider resource identifiers, Azure Repos default-branch commit identifiers, Foundry project/agent/model/tool identifiers, Application Insights component identifiers, trace/span hierarchy, timestamps, outcomes, token counters, evidence locators and bounded metadata required to explain inventory, relationships, runtime sessions and coverage.</w:t>
      </w:r>
    </w:p>
    <w:p>
      <w:pPr>
        <w:keepLines w:val="0"/>
        <w:numPr>
          <w:ilvl w:val="0"/>
          <w:numId w:val="51"/>
        </w:numPr>
        <w:spacing w:before="0" w:after="80" w:line="300" w:lineRule="auto"/>
      </w:pPr>
      <w:r>
        <w:rPr>
          <w:rFonts w:ascii="Calibri" w:hAnsi="Calibri"/>
          <w:b w:val="0"/>
          <w:i w:val="0"/>
          <w:color w:val="233044"/>
          <w:sz w:val="22"/>
        </w:rPr>
        <w:t>Hashed one-time setup state, validation results, collection timestamps and explicit complete, partial, failed, not_supported or unknown coverage states.</w:t>
      </w:r>
    </w:p>
    <w:p>
      <w:pPr>
        <w:keepLines w:val="0"/>
        <w:numPr>
          <w:ilvl w:val="0"/>
          <w:numId w:val="51"/>
        </w:numPr>
        <w:spacing w:before="0" w:after="80" w:line="300" w:lineRule="auto"/>
      </w:pPr>
      <w:r>
        <w:rPr>
          <w:rFonts w:ascii="Calibri" w:hAnsi="Calibri"/>
          <w:b w:val="0"/>
          <w:i w:val="0"/>
          <w:color w:val="233044"/>
          <w:sz w:val="22"/>
        </w:rPr>
        <w:t>Evidence-linked inventory, activity, findings, detections and issues produced within the agreed boundary.</w:t>
      </w:r>
    </w:p>
    <w:p>
      <w:pPr>
        <w:pStyle w:val="Heading2"/>
        <w:keepNext/>
        <w:pageBreakBefore w:val="0"/>
      </w:pPr>
      <w:r>
        <w:rPr>
          <w:rFonts w:ascii="Calibri" w:hAnsi="Calibri"/>
          <w:b/>
          <w:i w:val="0"/>
          <w:color w:val="2E74B5"/>
          <w:sz w:val="26"/>
        </w:rPr>
        <w:t>Data not retained</w:t>
      </w:r>
    </w:p>
    <w:p>
      <w:pPr>
        <w:keepLines w:val="0"/>
        <w:numPr>
          <w:ilvl w:val="0"/>
          <w:numId w:val="51"/>
        </w:numPr>
        <w:spacing w:before="0" w:after="80" w:line="300" w:lineRule="auto"/>
      </w:pPr>
      <w:r>
        <w:rPr>
          <w:rFonts w:ascii="Calibri" w:hAnsi="Calibri"/>
          <w:b w:val="0"/>
          <w:i w:val="0"/>
          <w:color w:val="233044"/>
          <w:sz w:val="22"/>
        </w:rPr>
        <w:t>Customer passwords, Azure access keys, CLI tokens, service-account JSON, OAuth access tokens, private keys or Azure DevOps PATs.</w:t>
      </w:r>
    </w:p>
    <w:p>
      <w:pPr>
        <w:keepLines w:val="0"/>
        <w:numPr>
          <w:ilvl w:val="0"/>
          <w:numId w:val="51"/>
        </w:numPr>
        <w:spacing w:before="0" w:after="80" w:line="300" w:lineRule="auto"/>
      </w:pPr>
      <w:r>
        <w:rPr>
          <w:rFonts w:ascii="Calibri" w:hAnsi="Calibri"/>
          <w:b w:val="0"/>
          <w:i w:val="0"/>
          <w:color w:val="233044"/>
          <w:sz w:val="22"/>
        </w:rPr>
        <w:t>Native Syft or Grype report documents after terminal processing. Denali retains only normalized bounded evidence, job status, safe counts and sanitized failure details.</w:t>
      </w:r>
    </w:p>
    <w:p>
      <w:pPr>
        <w:keepLines w:val="0"/>
        <w:numPr>
          <w:ilvl w:val="0"/>
          <w:numId w:val="51"/>
        </w:numPr>
        <w:spacing w:before="0" w:after="80" w:line="300" w:lineRule="auto"/>
      </w:pPr>
      <w:r>
        <w:rPr>
          <w:rFonts w:ascii="Calibri" w:hAnsi="Calibri"/>
          <w:b w:val="0"/>
          <w:i w:val="0"/>
          <w:color w:val="233044"/>
          <w:sz w:val="22"/>
        </w:rPr>
        <w:t>Authorization headers, callback codes, database connection strings or provider secrets in logs.</w:t>
      </w:r>
    </w:p>
    <w:p>
      <w:pPr>
        <w:keepLines w:val="0"/>
        <w:numPr>
          <w:ilvl w:val="0"/>
          <w:numId w:val="51"/>
        </w:numPr>
        <w:spacing w:before="0" w:after="80" w:line="300" w:lineRule="auto"/>
      </w:pPr>
      <w:r>
        <w:t>Prompts, model responses, system instructions, tool arguments or results, request or response bodies, Exchange email content, SharePoint or OneDrive file content, Teams messages, Microsoft 365 Copilot content, secret values, caller IP addresses or arbitrary provider response bodies.</w:t>
      </w:r>
    </w:p>
    <w:p>
      <w:pPr>
        <w:keepLines w:val="0"/>
        <w:numPr>
          <w:ilvl w:val="0"/>
          <w:numId w:val="51"/>
        </w:numPr>
        <w:spacing w:before="0" w:after="80" w:line="300" w:lineRule="auto"/>
      </w:pPr>
      <w:r>
        <w:rPr>
          <w:rFonts w:ascii="Calibri" w:hAnsi="Calibri"/>
          <w:b w:val="0"/>
          <w:i w:val="0"/>
          <w:color w:val="233044"/>
          <w:sz w:val="22"/>
        </w:rPr>
        <w:t>Raw source archives or general-purpose copies of BEEAH repositories. Eligible source files are processed transiently for the selected immutable revision and are not retained as repository snapshots.</w:t>
      </w:r>
    </w:p>
    <w:p>
      <w:pPr>
        <w:spacing w:before="100" w:after="200" w:line="283" w:lineRule="auto"/>
        <w:ind w:left="202" w:right="115"/>
        <w:shd w:fill="EAF6F3"/>
        <w:keepLines/>
        <w:pBdr>
          <w:left w:val="single" w:sz="22" w:space="8" w:color="2D7F78"/>
        </w:pBdr>
      </w:pPr>
      <w:r>
        <w:rPr>
          <w:b/>
        </w:rPr>
        <w:t xml:space="preserve">CUSTOMER CONTROL  </w:t>
      </w:r>
      <w:r>
        <w:t>BEEAH can revoke Azure access by removing Reader assignments, revoke Entra consent independently, stop Azure Repos access by removing Denali's service principal from the Azure DevOps organization or selected project groups, and stop Foundry runtime evidence by disabling the Denali runtime scope or customer-managed tracing. Deleting a Denali connection does not silently remove BEEAH-side assignments or telemetry settings, so offboarding includes both sides.</w:t>
      </w:r>
    </w:p>
    <w:p>
      <w:pPr>
        <w:pStyle w:val="Heading2"/>
        <w:keepNext/>
        <w:pageBreakBefore w:val="0"/>
      </w:pPr>
      <w:r>
        <w:rPr>
          <w:rFonts w:ascii="Calibri" w:hAnsi="Calibri"/>
          <w:b/>
          <w:i w:val="0"/>
          <w:color w:val="2E74B5"/>
          <w:sz w:val="26"/>
        </w:rPr>
        <w:t>Items Denali must disclose before consent</w:t>
      </w:r>
    </w:p>
    <w:p>
      <w:pPr>
        <w:keepLines w:val="0"/>
        <w:numPr>
          <w:ilvl w:val="0"/>
          <w:numId w:val="51"/>
        </w:numPr>
        <w:spacing w:before="0" w:after="80" w:line="300" w:lineRule="auto"/>
      </w:pPr>
      <w:r>
        <w:t>Final Azure, Entra and Azure Repos application names and client IDs, verified publisher or owner identity, callback URLs, Azure setup-script version and hash, Microsoft Graph permissions, Azure DevOps vso.code permission, source collection limits, and the optional Foundry runtime metadata projection, polling window, coverage behavior and customer telemetry prerequisites.</w:t>
      </w:r>
    </w:p>
    <w:p>
      <w:pPr>
        <w:keepLines w:val="0"/>
        <w:numPr>
          <w:ilvl w:val="0"/>
          <w:numId w:val="51"/>
        </w:numPr>
        <w:spacing w:before="0" w:after="80" w:line="300" w:lineRule="auto"/>
      </w:pPr>
      <w:r>
        <w:rPr>
          <w:rFonts w:ascii="Calibri" w:hAnsi="Calibri"/>
          <w:b w:val="0"/>
          <w:i w:val="0"/>
          <w:color w:val="233044"/>
          <w:sz w:val="22"/>
        </w:rPr>
        <w:t>If vulnerability evidence is included, the accepted Syft and Grype formats, 16 MiB per-report limit, private encrypted staging controls, terminal deletion behavior and the absence of automated Azure Pipelines submission.</w:t>
      </w:r>
    </w:p>
    <w:p>
      <w:pPr>
        <w:keepLines w:val="0"/>
        <w:numPr>
          <w:ilvl w:val="0"/>
          <w:numId w:val="51"/>
        </w:numPr>
        <w:spacing w:before="0" w:after="80" w:line="300" w:lineRule="auto"/>
      </w:pPr>
      <w:r>
        <w:rPr>
          <w:rFonts w:ascii="Calibri" w:hAnsi="Calibri"/>
          <w:b w:val="0"/>
          <w:i w:val="0"/>
          <w:color w:val="233044"/>
          <w:sz w:val="22"/>
        </w:rPr>
        <w:t>Hosting region, data residency, retention period, deletion process, subprocessors and incident contacts applicable to the POC.</w:t>
      </w:r>
    </w:p>
    <w:p>
      <w:pPr>
        <w:keepLines w:val="0"/>
        <w:numPr>
          <w:ilvl w:val="0"/>
          <w:numId w:val="51"/>
        </w:numPr>
        <w:spacing w:before="0" w:after="80" w:line="300" w:lineRule="auto"/>
      </w:pPr>
      <w:r>
        <w:rPr>
          <w:rFonts w:ascii="Calibri" w:hAnsi="Calibri"/>
          <w:b w:val="0"/>
          <w:i w:val="0"/>
          <w:color w:val="233044"/>
          <w:sz w:val="22"/>
        </w:rPr>
        <w:t>The exact test window, participating Denali operators and a rollback contact.</w:t>
      </w:r>
    </w:p>
    <w:p>
      <w:pPr>
        <w:pStyle w:val="Heading1"/>
        <w:keepNext/>
        <w:pageBreakBefore w:val="0"/>
      </w:pPr>
      <w:r>
        <w:rPr>
          <w:rFonts w:ascii="Calibri" w:hAnsi="Calibri"/>
          <w:b/>
          <w:i w:val="0"/>
          <w:color w:val="2E74B5"/>
          <w:sz w:val="32"/>
        </w:rPr>
        <w:t>4 BEEAH roles and permissions</w:t>
      </w:r>
    </w:p>
    <w:p>
      <w:pPr>
        <w:pStyle w:val="Heading2"/>
        <w:keepNext/>
        <w:pageBreakBefore w:val="0"/>
      </w:pPr>
      <w:r>
        <w:rPr>
          <w:rFonts w:ascii="Calibri" w:hAnsi="Calibri"/>
          <w:b/>
          <w:i w:val="0"/>
          <w:color w:val="2E74B5"/>
          <w:sz w:val="26"/>
        </w:rPr>
        <w:t>Azure subscription onboarding</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350"/>
        <w:gridCol w:w="2700"/>
        <w:gridCol w:w="4310"/>
      </w:tblGrid>
      <w:tr>
        <w:trPr>
          <w:tblHeader/>
          <w:cantSplit/>
        </w:trPr>
        <w:tc>
          <w:tcPr>
            <w:tcW w:type="dxa" w:w="235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Participant</w:t>
            </w:r>
          </w:p>
        </w:tc>
        <w:tc>
          <w:tcPr>
            <w:tcW w:type="dxa" w:w="27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Required authority</w:t>
            </w:r>
          </w:p>
        </w:tc>
        <w:tc>
          <w:tcPr>
            <w:tcW w:type="dxa" w:w="431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Purpose and boundary</w:t>
            </w:r>
          </w:p>
        </w:tc>
      </w:tr>
      <w:tr>
        <w:trPr>
          <w:cantSplit/>
        </w:trPr>
        <w:tc>
          <w:tcPr>
            <w:tcW w:type="dxa" w:w="235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BEEAH tenant administrator</w:t>
            </w:r>
          </w:p>
        </w:tc>
        <w:tc>
          <w:tcPr>
            <w:tcW w:type="dxa" w:w="2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Global Administrator or Cloud Application Administrator</w:t>
            </w:r>
          </w:p>
        </w:tc>
        <w:tc>
          <w:tcPr>
            <w:tcW w:type="dxa" w:w="431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Creates or confirms the Denali Azure service principal in the BEEAH tenant. The Azure application requests no Microsoft Graph API permissions, and this step grants no subscription access.</w:t>
            </w:r>
          </w:p>
        </w:tc>
      </w:tr>
      <w:tr>
        <w:trPr>
          <w:cantSplit/>
        </w:trPr>
        <w:tc>
          <w:tcPr>
            <w:tcW w:type="dxa" w:w="235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BEEAH Azure operator</w:t>
            </w:r>
          </w:p>
        </w:tc>
        <w:tc>
          <w:tcPr>
            <w:tcW w:type="dxa" w:w="2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Owner or User Access Administrator on each selected subscription</w:t>
            </w:r>
          </w:p>
        </w:tc>
        <w:tc>
          <w:tcPr>
            <w:tcW w:type="dxa" w:w="431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Runs the reviewable Cloud Shell setup and assigns the built-in Reader role at only the selected subscription scopes.</w:t>
            </w:r>
          </w:p>
        </w:tc>
      </w:tr>
      <w:tr>
        <w:trPr>
          <w:cantSplit/>
        </w:trPr>
        <w:tc>
          <w:tcPr>
            <w:tcW w:type="dxa" w:w="235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Denali enterprise application</w:t>
            </w:r>
          </w:p>
        </w:tc>
        <w:tc>
          <w:tcPr>
            <w:tcW w:type="dxa" w:w="27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built-in Reader</w:t>
            </w:r>
          </w:p>
        </w:tc>
        <w:tc>
          <w:tcPr>
            <w:tcW w:type="dxa" w:w="4310"/>
            <w:vAlign w:val="center"/>
            <w:tcMar>
              <w:top w:w="80" w:type="dxa"/>
              <w:start w:w="120" w:type="dxa"/>
              <w:bottom w:w="80" w:type="dxa"/>
              <w:end w:w="120" w:type="dxa"/>
            </w:tcMar>
          </w:tcPr>
          <w:p>
            <w:r>
              <w:t>Reads Azure control-plane inventory and validation entrypoints. When explicitly selected, also discovers Application Insights components and uses the read-only query action for an allowlisted metadata projection. No write/remediation role, telemetry-write role or workload data-plane role.</w:t>
            </w:r>
          </w:p>
        </w:tc>
      </w:tr>
    </w:tbl>
    <w:p>
      <w:pPr>
        <w:spacing w:after="40"/>
      </w:pPr>
    </w:p>
    <w:p>
      <w:pPr>
        <w:keepLines w:val="0"/>
        <w:spacing w:before="0" w:after="120" w:line="300" w:lineRule="auto"/>
      </w:pPr>
      <w:r>
        <w:t>The connection-specific Cloud Shell script is reviewable before execution and delivered through a short-lived private URL. It creates or confirms the Denali service principal, asks the operator to select subscriptions, assigns the built-in Reader role only at those scopes, and returns a one-time completion code. This Azure setup has no browser consent callback and does not give Denali the operator's Azure credentials. When the optional Foundry runtime plane is selected, Reader also permits Application Insights component discovery and the read-only query action; it does not grant a telemetry write role.</w:t>
      </w:r>
    </w:p>
    <w:p>
      <w:pPr>
        <w:pStyle w:val="Heading2"/>
        <w:keepNext/>
        <w:pageBreakBefore w:val="0"/>
      </w:pPr>
      <w:r>
        <w:t>Optional Azure Foundry runtime activity</w:t>
      </w:r>
    </w:p>
    <w:p>
      <w:pPr>
        <w:keepLines w:val="0"/>
        <w:spacing w:before="0" w:after="120" w:line="300" w:lineRule="auto"/>
      </w:pPr>
      <w:r>
        <w:t>Foundry runtime activity is an optional plane on the existing Azure connection. BEEAH enables tracing for only the approved Foundry projects and connects those projects to customer-owned Application Insights resources. Denali does not create or change agents, tracing, diagnostic settings, sampling or retention.</w:t>
      </w:r>
    </w:p>
    <w:p>
      <w:pPr>
        <w:keepLines w:val="0"/>
        <w:numPr>
          <w:ilvl w:val="0"/>
          <w:numId w:val="51"/>
        </w:numPr>
        <w:spacing w:before="0" w:after="80" w:line="300" w:lineRule="auto"/>
      </w:pPr>
      <w:r>
        <w:t>Denali queries only an explicit server-side metadata allowlist. The first collection reads 30 minutes, later collection runs every five minutes with overlap, and catch-up is capped at 24 hours with partial coverage for any earlier gap.</w:t>
      </w:r>
    </w:p>
    <w:p>
      <w:pPr>
        <w:keepLines w:val="0"/>
        <w:numPr>
          <w:ilvl w:val="0"/>
          <w:numId w:val="51"/>
        </w:numPr>
        <w:spacing w:before="0" w:after="80" w:line="300" w:lineRule="auto"/>
      </w:pPr>
      <w:r>
        <w:t>Production reference acceptance on 14 September 2026 retained one Anna session with six normalized agent, model and tool activities, complete coverage and zero prohibited content fields. This proves Denali's reference path; BEEAH acceptance still requires a fresh synthetic session inside BEEAH's approved scope.</w:t>
      </w:r>
    </w:p>
    <w:p>
      <w:pPr>
        <w:pStyle w:val="Heading2"/>
        <w:keepNext/>
        <w:pageBreakBefore w:val="0"/>
      </w:pPr>
      <w:r>
        <w:rPr>
          <w:rFonts w:ascii="Calibri" w:hAnsi="Calibri"/>
          <w:b/>
          <w:i w:val="0"/>
          <w:color w:val="2E74B5"/>
          <w:sz w:val="26"/>
        </w:rPr>
        <w:t>Separate Microsoft Entra discovery consent</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2500"/>
        <w:gridCol w:w="5460"/>
        <w:gridCol w:w="1400"/>
      </w:tblGrid>
      <w:tr>
        <w:trPr>
          <w:tblHeader/>
          <w:cantSplit/>
        </w:trPr>
        <w:tc>
          <w:tcPr>
            <w:tcW w:type="dxa" w:w="25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Microsoft Graph application permission</w:t>
            </w:r>
          </w:p>
        </w:tc>
        <w:tc>
          <w:tcPr>
            <w:tcW w:type="dxa" w:w="54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Why requested</w:t>
            </w:r>
          </w:p>
        </w:tc>
        <w:tc>
          <w:tcPr>
            <w:tcW w:type="dxa" w:w="14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Write access</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Directory.Read.All</w:t>
            </w:r>
          </w:p>
        </w:tc>
        <w:tc>
          <w:tcPr>
            <w:tcW w:type="dxa" w:w="54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Read enterprise applications/service principals, delegated grants and application-role assignments needed for AI application discovery.</w:t>
            </w:r>
          </w:p>
        </w:tc>
        <w:tc>
          <w:tcPr>
            <w:tcW w:type="dxa" w:w="14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None</w:t>
            </w:r>
          </w:p>
        </w:tc>
      </w:tr>
      <w:tr>
        <w:trPr>
          <w:cantSplit/>
        </w:trPr>
        <w:tc>
          <w:tcPr>
            <w:tcW w:type="dxa" w:w="25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AuditLog.Read.All</w:t>
            </w:r>
          </w:p>
        </w:tc>
        <w:tc>
          <w:tcPr>
            <w:tcW w:type="dxa" w:w="54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Read sign-in and directory-audit metadata for matched applications; availability remains subject to BEEAH licensing and retention.</w:t>
            </w:r>
          </w:p>
        </w:tc>
        <w:tc>
          <w:tcPr>
            <w:tcW w:type="dxa" w:w="14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None</w:t>
            </w:r>
          </w:p>
        </w:tc>
      </w:tr>
    </w:tbl>
    <w:p>
      <w:pPr>
        <w:spacing w:after="40"/>
      </w:pPr>
    </w:p>
    <w:p>
      <w:pPr>
        <w:spacing w:before="100" w:after="200" w:line="283" w:lineRule="auto"/>
        <w:ind w:left="202" w:right="115"/>
        <w:shd w:fill="E8EEF5"/>
        <w:keepLines/>
        <w:pBdr>
          <w:left w:val="single" w:sz="22" w:space="8" w:color="2E74B5"/>
        </w:pBdr>
      </w:pPr>
      <w:r>
        <w:rPr>
          <w:rFonts w:ascii="Calibri" w:hAnsi="Calibri"/>
          <w:b/>
          <w:i w:val="0"/>
          <w:color w:val="2E74B5"/>
          <w:sz w:val="18"/>
        </w:rPr>
        <w:t xml:space="preserve">EVIDENCE BOUNDARY  </w:t>
      </w:r>
      <w:r>
        <w:rPr>
          <w:rFonts w:ascii="Calibri" w:hAnsi="Calibri"/>
          <w:b w:val="0"/>
          <w:i w:val="0"/>
          <w:color w:val="233044"/>
          <w:sz w:val="21"/>
        </w:rPr>
        <w:t>A catalog match means “review this application.” It does not by itself prove that the application is unauthorized, unsafe, used by BEEAH or processing company data.</w:t>
      </w:r>
    </w:p>
    <w:p>
      <w:pPr>
        <w:pStyle w:val="Heading2"/>
        <w:keepNext/>
        <w:pageBreakBefore w:val="0"/>
      </w:pPr>
      <w:r>
        <w:rPr>
          <w:rFonts w:ascii="Calibri" w:hAnsi="Calibri"/>
          <w:b/>
          <w:i w:val="0"/>
          <w:color w:val="2E74B5"/>
          <w:sz w:val="26"/>
        </w:rPr>
        <w:t>Azure Repos</w:t>
      </w:r>
    </w:p>
    <w:p>
      <w:pPr>
        <w:keepLines w:val="0"/>
        <w:spacing w:before="0" w:after="120" w:line="300" w:lineRule="auto"/>
      </w:pPr>
      <w:r>
        <w:rPr>
          <w:rFonts w:ascii="Calibri" w:hAnsi="Calibri"/>
          <w:b w:val="0"/>
          <w:i w:val="0"/>
          <w:color w:val="233044"/>
          <w:sz w:val="22"/>
        </w:rPr>
        <w:t>Azure Repos is onboarded separately from Azure subscriptions and Microsoft Entra application discovery. A one-time delegated sign-in proves that an authorized user can enumerate the recorded Azure DevOps organization and select exact repositories. Denali discards that delegated token after setup; steady-state validation and collection use Denali's service principal with the read-only vso.code permission.</w:t>
      </w:r>
    </w:p>
    <w:p>
      <w:pPr>
        <w:keepLines w:val="0"/>
        <w:numPr>
          <w:ilvl w:val="0"/>
          <w:numId w:val="51"/>
        </w:numPr>
        <w:spacing w:before="0" w:after="80" w:line="300" w:lineRule="auto"/>
      </w:pPr>
      <w:r>
        <w:rPr>
          <w:rFonts w:ascii="Calibri" w:hAnsi="Calibri"/>
          <w:b w:val="0"/>
          <w:i w:val="0"/>
          <w:color w:val="233044"/>
          <w:sz w:val="22"/>
        </w:rPr>
        <w:t>A BEEAH tenant administrator reviews the Azure DevOps permission and grants consent when BEEAH policy requires administrator approval.</w:t>
      </w:r>
    </w:p>
    <w:p>
      <w:pPr>
        <w:keepLines w:val="0"/>
        <w:numPr>
          <w:ilvl w:val="0"/>
          <w:numId w:val="51"/>
        </w:numPr>
        <w:spacing w:before="0" w:after="80" w:line="300" w:lineRule="auto"/>
      </w:pPr>
      <w:r>
        <w:rPr>
          <w:rFonts w:ascii="Calibri" w:hAnsi="Calibri"/>
          <w:b w:val="0"/>
          <w:i w:val="0"/>
          <w:color w:val="233044"/>
          <w:sz w:val="22"/>
        </w:rPr>
        <w:t>A BEEAH Azure DevOps organization owner adds Denali's service principal with Basic access and Reader membership only for the approved projects or repositories.</w:t>
      </w:r>
    </w:p>
    <w:p>
      <w:pPr>
        <w:keepLines w:val="0"/>
        <w:numPr>
          <w:ilvl w:val="0"/>
          <w:numId w:val="51"/>
        </w:numPr>
        <w:spacing w:before="0" w:after="80" w:line="300" w:lineRule="auto"/>
      </w:pPr>
      <w:r>
        <w:rPr>
          <w:rFonts w:ascii="Calibri" w:hAnsi="Calibri"/>
          <w:b w:val="0"/>
          <w:i w:val="0"/>
          <w:color w:val="233044"/>
          <w:sz w:val="22"/>
        </w:rPr>
        <w:t>An authorized Azure DevOps user completes the one-time sign-in and selects a subset of repositories visible to both that user and Denali's service principal.</w:t>
      </w:r>
    </w:p>
    <w:p>
      <w:pPr>
        <w:keepLines w:val="0"/>
        <w:numPr>
          <w:ilvl w:val="0"/>
          <w:numId w:val="51"/>
        </w:numPr>
        <w:spacing w:before="0" w:after="80" w:line="300" w:lineRule="auto"/>
      </w:pPr>
      <w:r>
        <w:rPr>
          <w:rFonts w:ascii="Calibri" w:hAnsi="Calibri"/>
          <w:b w:val="0"/>
          <w:i w:val="0"/>
          <w:color w:val="233044"/>
          <w:sz w:val="22"/>
        </w:rPr>
        <w:t>Denali resolves each default branch to an immutable commit and processes at most 20,000 tree entries, 2,000 eligible files, 2 MB per file and 25 MB in total per repository. Repository contents are neither executed nor persisted.</w:t>
      </w:r>
    </w:p>
    <w:p>
      <w:pPr>
        <w:pStyle w:val="Heading2"/>
        <w:keepNext/>
        <w:pageBreakBefore w:val="0"/>
      </w:pPr>
      <w:r>
        <w:rPr>
          <w:rFonts w:ascii="Calibri" w:hAnsi="Calibri"/>
          <w:b/>
          <w:i w:val="0"/>
          <w:color w:val="2E74B5"/>
          <w:sz w:val="26"/>
        </w:rPr>
        <w:t>Vulnerability evidence from CI</w:t>
      </w:r>
    </w:p>
    <w:p>
      <w:pPr>
        <w:keepLines w:val="0"/>
        <w:spacing w:before="0" w:after="120" w:line="300" w:lineRule="auto"/>
      </w:pPr>
      <w:r>
        <w:rPr>
          <w:rFonts w:ascii="Calibri" w:hAnsi="Calibri"/>
          <w:b w:val="0"/>
          <w:i w:val="0"/>
          <w:color w:val="233044"/>
          <w:sz w:val="22"/>
        </w:rPr>
        <w:t>Vulnerability evidence does not require an Azure Repos connection or a personal access token. Azure Pipelines or another CI system may generate native Syft and Grype JSON for the deployed artifact. A Denali organization admin then selects the independently observed workload and submits the matching report pair through the authenticated hosted application.</w:t>
      </w:r>
    </w:p>
    <w:p>
      <w:pPr>
        <w:keepLines w:val="0"/>
        <w:numPr>
          <w:ilvl w:val="0"/>
          <w:numId w:val="51"/>
        </w:numPr>
        <w:spacing w:before="0" w:after="80" w:line="300" w:lineRule="auto"/>
      </w:pPr>
      <w:r>
        <w:rPr>
          <w:rFonts w:ascii="Calibri" w:hAnsi="Calibri"/>
          <w:b w:val="0"/>
          <w:i w:val="0"/>
          <w:color w:val="233044"/>
          <w:sz w:val="22"/>
        </w:rPr>
        <w:t>Each report is limited to 16 MiB and is staged in private encrypted object storage. A durable worker validates and normalizes the pair, then deletes the raw report objects after terminal success or failure.</w:t>
      </w:r>
    </w:p>
    <w:p>
      <w:pPr>
        <w:keepLines w:val="0"/>
        <w:numPr>
          <w:ilvl w:val="0"/>
          <w:numId w:val="51"/>
        </w:numPr>
        <w:spacing w:before="0" w:after="80" w:line="300" w:lineRule="auto"/>
      </w:pPr>
      <w:r>
        <w:rPr>
          <w:rFonts w:ascii="Calibri" w:hAnsi="Calibri"/>
          <w:b w:val="0"/>
          <w:i w:val="0"/>
          <w:color w:val="233044"/>
          <w:sz w:val="22"/>
        </w:rPr>
        <w:t>The Syft report may add exact component occurrences and containment relationships, but it cannot create or replace the cloud-observed workload. Vulnerabilities reach code-to-cloud views only when the Grype scan subject exactly matches the artifact observed on that workload.</w:t>
      </w:r>
    </w:p>
    <w:p>
      <w:pPr>
        <w:keepLines w:val="0"/>
        <w:numPr>
          <w:ilvl w:val="0"/>
          <w:numId w:val="51"/>
        </w:numPr>
        <w:spacing w:before="0" w:after="80" w:line="300" w:lineRule="auto"/>
      </w:pPr>
      <w:r>
        <w:rPr>
          <w:rFonts w:ascii="Calibri" w:hAnsi="Calibri"/>
          <w:b w:val="0"/>
          <w:i w:val="0"/>
          <w:color w:val="233044"/>
          <w:sz w:val="22"/>
        </w:rPr>
        <w:t>A complete authoritative report may support a scoped zero-result statement. A partial report, failed job or artifact mismatch remains incomplete and cannot be presented as zero vulnerabilities.</w:t>
      </w:r>
    </w:p>
    <w:p>
      <w:pPr>
        <w:keepLines w:val="0"/>
        <w:numPr>
          <w:ilvl w:val="0"/>
          <w:numId w:val="51"/>
        </w:numPr>
        <w:spacing w:before="0" w:after="80" w:line="300" w:lineRule="auto"/>
      </w:pPr>
      <w:r>
        <w:rPr>
          <w:rFonts w:ascii="Calibri" w:hAnsi="Calibri"/>
          <w:b w:val="0"/>
          <w:i w:val="0"/>
          <w:color w:val="233044"/>
          <w:sz w:val="22"/>
        </w:rPr>
        <w:t>GitHub OIDC submission is available only to GitHub Actions workflows on repositories selected through a healthy GitHub connection. It does not currently extend to Azure DevOps or Azure Pipelines; those pipelines use the organization-admin import path.</w:t>
      </w:r>
    </w:p>
    <w:p>
      <w:pPr>
        <w:pStyle w:val="Heading1"/>
        <w:keepNext/>
        <w:pageBreakBefore w:val="0"/>
      </w:pPr>
      <w:r>
        <w:rPr>
          <w:rFonts w:ascii="Calibri" w:hAnsi="Calibri"/>
          <w:b/>
          <w:i w:val="0"/>
          <w:color w:val="2E74B5"/>
          <w:sz w:val="32"/>
        </w:rPr>
        <w:t>5 Onboarding workflow</w:t>
      </w:r>
    </w:p>
    <w:p>
      <w:pPr>
        <w:pStyle w:val="Heading2"/>
        <w:keepNext/>
        <w:pageBreakBefore w:val="0"/>
      </w:pPr>
      <w:r>
        <w:rPr>
          <w:rFonts w:ascii="Calibri" w:hAnsi="Calibri"/>
          <w:b/>
          <w:i w:val="0"/>
          <w:color w:val="2E74B5"/>
          <w:sz w:val="26"/>
        </w:rPr>
        <w:t>A Denali preparation before inviting BEEAH</w:t>
      </w:r>
    </w:p>
    <w:p>
      <w:pPr>
        <w:keepLines w:val="0"/>
        <w:numPr>
          <w:ilvl w:val="0"/>
          <w:numId w:val="52"/>
        </w:numPr>
        <w:spacing w:before="0" w:after="120" w:line="300" w:lineRule="auto"/>
      </w:pPr>
      <w:r>
        <w:rPr>
          <w:rFonts w:ascii="Calibri" w:hAnsi="Calibri"/>
          <w:b w:val="0"/>
          <w:i w:val="0"/>
          <w:color w:val="233044"/>
          <w:sz w:val="22"/>
        </w:rPr>
        <w:t>Create the dedicated BEEAH organization in the production identity system, invite the initial organization administrator and confirm the admin and member test roles.</w:t>
      </w:r>
    </w:p>
    <w:p>
      <w:pPr>
        <w:keepLines w:val="0"/>
        <w:numPr>
          <w:ilvl w:val="0"/>
          <w:numId w:val="52"/>
        </w:numPr>
        <w:spacing w:before="0" w:after="120" w:line="300" w:lineRule="auto"/>
      </w:pPr>
      <w:r>
        <w:t>Provide the Azure, Entra and Azure Repos application identity pack with application names, client IDs, verified owner or publisher, callback URLs, Azure setup-script hash, Graph permissions, Azure DevOps vso.code permission, source collection limits, and the optional Foundry runtime metadata allowlist and collection windows.</w:t>
      </w:r>
    </w:p>
    <w:p>
      <w:pPr>
        <w:keepLines w:val="0"/>
        <w:numPr>
          <w:ilvl w:val="0"/>
          <w:numId w:val="52"/>
        </w:numPr>
        <w:spacing w:before="0" w:after="120" w:line="300" w:lineRule="auto"/>
      </w:pPr>
      <w:r>
        <w:t>Record the current production release and confirm that Azure, Entra and Azure Repos validation and collection remain healthy against non-empty reference environments. If Foundry runtime is proposed, cite the 14 September 2026 production reference acceptance and repeat a fresh metadata-only session test within BEEAH's approved scope.</w:t>
      </w:r>
    </w:p>
    <w:p>
      <w:pPr>
        <w:keepLines w:val="0"/>
        <w:numPr>
          <w:ilvl w:val="0"/>
          <w:numId w:val="52"/>
        </w:numPr>
        <w:spacing w:before="0" w:after="120" w:line="300" w:lineRule="auto"/>
      </w:pPr>
      <w:r>
        <w:rPr>
          <w:rFonts w:ascii="Calibri" w:hAnsi="Calibri"/>
          <w:b w:val="0"/>
          <w:i w:val="0"/>
          <w:color w:val="233044"/>
          <w:sz w:val="22"/>
        </w:rPr>
        <w:t>If scanner evidence is in scope, provide the native report requirements, size limit, artifact-matching rule, retention behavior and the manual Azure Pipelines boundary.</w:t>
      </w:r>
    </w:p>
    <w:p>
      <w:pPr>
        <w:keepLines w:val="0"/>
        <w:numPr>
          <w:ilvl w:val="0"/>
          <w:numId w:val="52"/>
        </w:numPr>
        <w:spacing w:before="0" w:after="120" w:line="300" w:lineRule="auto"/>
      </w:pPr>
      <w:r>
        <w:rPr>
          <w:rFonts w:ascii="Calibri" w:hAnsi="Calibri"/>
          <w:b w:val="0"/>
          <w:i w:val="0"/>
          <w:color w:val="233044"/>
          <w:sz w:val="22"/>
        </w:rPr>
        <w:t>Provide the POC data-residency, retention, deletion and incident-response statement.</w:t>
      </w:r>
    </w:p>
    <w:p>
      <w:pPr>
        <w:keepLines w:val="0"/>
        <w:numPr>
          <w:ilvl w:val="0"/>
          <w:numId w:val="52"/>
        </w:numPr>
        <w:spacing w:before="0" w:after="120" w:line="300" w:lineRule="auto"/>
      </w:pPr>
      <w:r>
        <w:t>Confirm the exact Azure DevOps organization, projects and repositories included in phase 1. If Foundry runtime is included, also confirm the exact Foundry projects and Application Insights resources. Microsoft 365 workload and Copilot telemetry remain excluded unless a separate scope is accepted.</w:t>
      </w:r>
    </w:p>
    <w:p>
      <w:pPr>
        <w:pStyle w:val="Heading2"/>
        <w:keepNext/>
        <w:pageBreakBefore w:val="0"/>
      </w:pPr>
      <w:r>
        <w:rPr>
          <w:rFonts w:ascii="Calibri" w:hAnsi="Calibri"/>
          <w:b/>
          <w:i w:val="0"/>
          <w:color w:val="2E74B5"/>
          <w:sz w:val="26"/>
        </w:rPr>
        <w:t>B BEEAH preparation</w:t>
      </w:r>
    </w:p>
    <w:p>
      <w:pPr>
        <w:keepLines w:val="0"/>
        <w:numPr>
          <w:ilvl w:val="0"/>
          <w:numId w:val="52"/>
        </w:numPr>
        <w:spacing w:before="0" w:after="120" w:line="300" w:lineRule="auto"/>
      </w:pPr>
      <w:r>
        <w:t>Confirm the BEEAH Entra tenant ID, list only the sandbox subscriptions proposed for the POC, identify the Azure DevOps organization, projects and repositories proposed for source onboarding, and identify any Foundry projects and Application Insights resources proposed for runtime evidence.</w:t>
      </w:r>
    </w:p>
    <w:p>
      <w:pPr>
        <w:keepLines w:val="0"/>
        <w:numPr>
          <w:ilvl w:val="0"/>
          <w:numId w:val="52"/>
        </w:numPr>
        <w:spacing w:before="0" w:after="120" w:line="300" w:lineRule="auto"/>
      </w:pPr>
      <w:r>
        <w:t>Nominate a Global Administrator for Entra consent; a Global Administrator or Cloud Application Administrator for Azure service-principal creation; an Owner or User Access Administrator for each selected subscription; an Azure DevOps organization owner or project administrator; an authorized Azure DevOps user; a Foundry/Application Insights owner when runtime evidence is included; Denali admin and member test users; and a rollback contact.</w:t>
      </w:r>
    </w:p>
    <w:p>
      <w:pPr>
        <w:keepLines w:val="0"/>
        <w:numPr>
          <w:ilvl w:val="0"/>
          <w:numId w:val="52"/>
        </w:numPr>
        <w:spacing w:before="0" w:after="120" w:line="300" w:lineRule="auto"/>
      </w:pPr>
      <w:r>
        <w:t>Review the application identity pack, Graph permissions, Azure Reader boundary, Azure DevOps vso.code permission, exact repository boundary and, if selected, the Foundry metadata-only projection and customer-controlled tracing boundary. Record excluded subscriptions, resource groups, services, projects, repositories and telemetry resources.</w:t>
      </w:r>
    </w:p>
    <w:p>
      <w:pPr>
        <w:keepLines w:val="0"/>
        <w:numPr>
          <w:ilvl w:val="0"/>
          <w:numId w:val="52"/>
        </w:numPr>
        <w:spacing w:before="0" w:after="120" w:line="300" w:lineRule="auto"/>
      </w:pPr>
      <w:r>
        <w:rPr>
          <w:rFonts w:ascii="Calibri" w:hAnsi="Calibri"/>
          <w:b w:val="0"/>
          <w:i w:val="0"/>
          <w:color w:val="233044"/>
          <w:sz w:val="22"/>
        </w:rPr>
        <w:t>Confirm that the Azure DevOps organization is connected to the BEEAH Entra tenant and provide the organization, project and repository identifiers through the agreed channel. Do not provide a credential or personal access token.</w:t>
      </w:r>
    </w:p>
    <w:p>
      <w:pPr>
        <w:keepLines w:val="0"/>
        <w:numPr>
          <w:ilvl w:val="0"/>
          <w:numId w:val="52"/>
        </w:numPr>
        <w:spacing w:before="0" w:after="120" w:line="300" w:lineRule="auto"/>
      </w:pPr>
      <w:r>
        <w:rPr>
          <w:rFonts w:ascii="Calibri" w:hAnsi="Calibri"/>
          <w:b w:val="0"/>
          <w:i w:val="0"/>
          <w:color w:val="233044"/>
          <w:sz w:val="22"/>
        </w:rPr>
        <w:t>If scanner evidence is in scope, identify the CI job that will generate native Syft and Grype JSON for the exact deployed artifact and nominate the Denali organization admin who will submit the pair.</w:t>
      </w:r>
    </w:p>
    <w:p>
      <w:pPr>
        <w:keepLines w:val="0"/>
        <w:numPr>
          <w:ilvl w:val="0"/>
          <w:numId w:val="52"/>
        </w:numPr>
        <w:spacing w:before="0" w:after="120" w:line="300" w:lineRule="auto"/>
      </w:pPr>
      <w:r>
        <w:t>Agree the POC dates, success criteria, retention and deletion window, telemetry retention boundary when Foundry runtime is included, and change window.</w:t>
      </w:r>
    </w:p>
    <w:p>
      <w:pPr>
        <w:pStyle w:val="Heading2"/>
        <w:keepNext/>
        <w:pageBreakBefore w:val="0"/>
      </w:pPr>
      <w:r>
        <w:rPr>
          <w:rFonts w:ascii="Calibri" w:hAnsi="Calibri"/>
          <w:b/>
          <w:i w:val="0"/>
          <w:color w:val="2E74B5"/>
          <w:sz w:val="26"/>
        </w:rPr>
        <w:t>C Joint onboarding session</w:t>
      </w:r>
    </w:p>
    <w:p>
      <w:pPr>
        <w:keepLines w:val="0"/>
        <w:numPr>
          <w:ilvl w:val="0"/>
          <w:numId w:val="52"/>
        </w:numPr>
        <w:spacing w:before="0" w:after="120" w:line="300" w:lineRule="auto"/>
      </w:pPr>
      <w:r>
        <w:rPr>
          <w:rFonts w:ascii="Calibri" w:hAnsi="Calibri"/>
          <w:b w:val="0"/>
          <w:i w:val="0"/>
          <w:color w:val="233044"/>
          <w:sz w:val="22"/>
        </w:rPr>
        <w:t>BEEAH signs in at https://denali.transilience.cloud and confirms the active BEEAH organization before any connection is created.</w:t>
      </w:r>
    </w:p>
    <w:p>
      <w:pPr>
        <w:keepLines w:val="0"/>
        <w:numPr>
          <w:ilvl w:val="0"/>
          <w:numId w:val="52"/>
        </w:numPr>
        <w:spacing w:before="0" w:after="120" w:line="300" w:lineRule="auto"/>
      </w:pPr>
      <w:r>
        <w:rPr>
          <w:rFonts w:ascii="Calibri" w:hAnsi="Calibri"/>
          <w:b w:val="0"/>
          <w:i w:val="0"/>
          <w:color w:val="233044"/>
          <w:sz w:val="22"/>
        </w:rPr>
        <w:t>A BEEAH organization administrator creates the Azure connection for the exact BEEAH tenant.</w:t>
      </w:r>
    </w:p>
    <w:p>
      <w:pPr>
        <w:keepLines w:val="0"/>
        <w:numPr>
          <w:ilvl w:val="0"/>
          <w:numId w:val="52"/>
        </w:numPr>
        <w:spacing w:before="0" w:after="120" w:line="300" w:lineRule="auto"/>
      </w:pPr>
      <w:r>
        <w:rPr>
          <w:rFonts w:ascii="Calibri" w:hAnsi="Calibri"/>
          <w:b w:val="0"/>
          <w:i w:val="0"/>
          <w:color w:val="233044"/>
          <w:sz w:val="22"/>
        </w:rPr>
        <w:t>The BEEAH tenant administrator reviews and runs the Azure Cloud Shell setup to create or confirm the Denali service principal. The Azure subscription operator selects the approved subscriptions and assigns Reader. This Azure step requests no Microsoft Graph consent.</w:t>
      </w:r>
    </w:p>
    <w:p>
      <w:pPr>
        <w:keepLines w:val="0"/>
        <w:numPr>
          <w:ilvl w:val="0"/>
          <w:numId w:val="52"/>
        </w:numPr>
        <w:spacing w:before="0" w:after="120" w:line="300" w:lineRule="auto"/>
      </w:pPr>
      <w:r>
        <w:t>The operator returns the one-time completion code to Denali. Denali validates the tenant, subscription binding and every declared Azure plane, then collects Azure evidence. If the Foundry runtime plane is selected, the customer first enables tracing to an approved Application Insights resource; Denali then validates its read-only query and schedules metadata-only collection every five minutes.</w:t>
      </w:r>
    </w:p>
    <w:p>
      <w:pPr>
        <w:keepLines w:val="0"/>
        <w:numPr>
          <w:ilvl w:val="0"/>
          <w:numId w:val="52"/>
        </w:numPr>
        <w:spacing w:before="0" w:after="120" w:line="300" w:lineRule="auto"/>
      </w:pPr>
      <w:r>
        <w:t>If Foundry runtime is included, BEEAH runs one fresh synthetic agent session after setup. The parties confirm that the durable collection completes, the Agent Execution Graph shows the ordered agent, model and tool metadata, coverage is explicit, and retained evidence contains no prompt, response, system-instruction, tool-argument or tool-result fields.</w:t>
      </w:r>
    </w:p>
    <w:p>
      <w:pPr>
        <w:keepLines w:val="0"/>
        <w:numPr>
          <w:ilvl w:val="0"/>
          <w:numId w:val="52"/>
        </w:numPr>
        <w:spacing w:before="0" w:after="120" w:line="300" w:lineRule="auto"/>
      </w:pPr>
      <w:r>
        <w:rPr>
          <w:rFonts w:ascii="Calibri" w:hAnsi="Calibri"/>
          <w:b w:val="0"/>
          <w:i w:val="0"/>
          <w:color w:val="233044"/>
          <w:sz w:val="22"/>
        </w:rPr>
        <w:t>In a separate Entra connection, a BEEAH Global Administrator reviews and grants Directory.Read.All and AuditLog.Read.All. Denali validates each Graph plane and then collects application and audit metadata. Licensing or retention limits remain visible.</w:t>
      </w:r>
    </w:p>
    <w:p>
      <w:pPr>
        <w:keepLines w:val="0"/>
        <w:numPr>
          <w:ilvl w:val="0"/>
          <w:numId w:val="52"/>
        </w:numPr>
        <w:spacing w:before="0" w:after="120" w:line="300" w:lineRule="auto"/>
      </w:pPr>
      <w:r>
        <w:rPr>
          <w:rFonts w:ascii="Calibri" w:hAnsi="Calibri"/>
          <w:b w:val="0"/>
          <w:i w:val="0"/>
          <w:color w:val="233044"/>
          <w:sz w:val="22"/>
        </w:rPr>
        <w:t>A BEEAH organization administrator creates a separate Azure Repos connection using the BEEAH Entra tenant ID and Azure DevOps organization name.</w:t>
      </w:r>
    </w:p>
    <w:p>
      <w:pPr>
        <w:keepLines w:val="0"/>
        <w:numPr>
          <w:ilvl w:val="0"/>
          <w:numId w:val="52"/>
        </w:numPr>
        <w:spacing w:before="0" w:after="120" w:line="300" w:lineRule="auto"/>
      </w:pPr>
      <w:r>
        <w:rPr>
          <w:rFonts w:ascii="Calibri" w:hAnsi="Calibri"/>
          <w:b w:val="0"/>
          <w:i w:val="0"/>
          <w:color w:val="233044"/>
          <w:sz w:val="22"/>
        </w:rPr>
        <w:t>An authorized Azure DevOps user completes the one-time Microsoft sign-in and selects only the approved repositories. The delegated access token is discarded after setup.</w:t>
      </w:r>
    </w:p>
    <w:p>
      <w:pPr>
        <w:keepLines w:val="0"/>
        <w:numPr>
          <w:ilvl w:val="0"/>
          <w:numId w:val="52"/>
        </w:numPr>
        <w:spacing w:before="0" w:after="120" w:line="300" w:lineRule="auto"/>
      </w:pPr>
      <w:r>
        <w:rPr>
          <w:rFonts w:ascii="Calibri" w:hAnsi="Calibri"/>
          <w:b w:val="0"/>
          <w:i w:val="0"/>
          <w:color w:val="233044"/>
          <w:sz w:val="22"/>
        </w:rPr>
        <w:t>The Azure DevOps organization owner adds Denali's service principal with Basic access and Reader membership for the approved projects or repositories. Denali independently validates the immutable repository identities and then collects source evidence.</w:t>
      </w:r>
    </w:p>
    <w:p>
      <w:pPr>
        <w:keepLines w:val="0"/>
        <w:numPr>
          <w:ilvl w:val="0"/>
          <w:numId w:val="52"/>
        </w:numPr>
        <w:spacing w:before="0" w:after="120" w:line="300" w:lineRule="auto"/>
      </w:pPr>
      <w:r>
        <w:rPr>
          <w:rFonts w:ascii="Calibri" w:hAnsi="Calibri"/>
          <w:b w:val="0"/>
          <w:i w:val="0"/>
          <w:color w:val="233044"/>
          <w:sz w:val="22"/>
        </w:rPr>
        <w:t>If scanner evidence is included, Denali first collects the target workload from Azure. A BEEAH organization admin then selects that workload and submits the matching Syft and Grype reports. Denali processes the durable job and displays normalized vulnerability evidence and scan coverage.</w:t>
      </w:r>
    </w:p>
    <w:p>
      <w:pPr>
        <w:keepLines w:val="0"/>
        <w:numPr>
          <w:ilvl w:val="0"/>
          <w:numId w:val="52"/>
        </w:numPr>
        <w:spacing w:before="0" w:after="120" w:line="300" w:lineRule="auto"/>
      </w:pPr>
      <w:r>
        <w:rPr>
          <w:rFonts w:ascii="Calibri" w:hAnsi="Calibri"/>
          <w:b w:val="0"/>
          <w:i w:val="0"/>
          <w:color w:val="233044"/>
          <w:sz w:val="22"/>
        </w:rPr>
        <w:t>The parties review the results, confirm tenant isolation and role behavior, and record any partial, failed, not_supported or unknown coverage state without treating missing evidence as a safe result. Licensing or retention constraints appear as detail on the applicable partial or failed result rather than as a separate coverage state.</w:t>
      </w:r>
    </w:p>
    <w:p>
      <w:pPr>
        <w:pStyle w:val="Heading1"/>
        <w:keepNext/>
        <w:pageBreakBefore w:val="0"/>
      </w:pPr>
      <w:r>
        <w:rPr>
          <w:rFonts w:ascii="Calibri" w:hAnsi="Calibri"/>
          <w:b/>
          <w:i w:val="0"/>
          <w:color w:val="2E74B5"/>
          <w:sz w:val="32"/>
        </w:rPr>
        <w:t>6 POC acceptance criteria</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The authenticated context shows the BEEAH organization and a BEEAH-specific internal tenant; no other customer data is visible.</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An organization member can read but receives a denial for connection and governance mutations; an organization admin can perform approved mutations.</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Azure validation binds to the expected BEEAH tenant and only the selected sandbox subscriptions.</w:t>
      </w:r>
    </w:p>
    <w:p>
      <w:pPr>
        <w:keepLines w:val="0"/>
        <w:spacing w:before="0" w:after="100" w:line="300" w:lineRule="auto"/>
        <w:ind w:left="29"/>
      </w:pPr>
      <w:r>
        <w:t>☐  Every Azure, Entra, Azure Repos and selected Foundry runtime plane displays one of the implementation's coverage states: complete, partial, failed, not_supported or unknown. Licensing, retention, sampling and ingestion constraints appear as result detail.</w:t>
      </w:r>
    </w:p>
    <w:p>
      <w:pPr>
        <w:keepLines w:val="0"/>
        <w:spacing w:before="0" w:after="100" w:line="300" w:lineRule="auto"/>
        <w:ind w:left="29"/>
      </w:pPr>
      <w:r>
        <w:t>☐  A sample of observed Azure resources and, if selected, one fresh Foundry agent session can be traced to provider identifiers and collection evidence without exposing secrets or payload content.</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Entra catalog matches are presented for governance review and are not labelled unauthorized solely because they matched the catalog.</w:t>
      </w:r>
    </w:p>
    <w:p>
      <w:pPr>
        <w:keepLines w:val="0"/>
        <w:spacing w:before="0" w:after="100" w:line="300" w:lineRule="auto"/>
        <w:ind w:left="29"/>
      </w:pPr>
      <w:r>
        <w:rPr>
          <w:rFonts w:ascii="Calibri" w:hAnsi="Calibri"/>
          <w:b w:val="0"/>
          <w:i w:val="0"/>
          <w:color w:val="233044"/>
          <w:sz w:val="22"/>
        </w:rPr>
        <w:t>☐  Each selected Azure Repos repository is rebound by immutable project and repository UUID, its default branch resolves to a commit, and resulting source or code-to-cloud evidence names that revision without retaining a raw repository copy.</w:t>
      </w:r>
    </w:p>
    <w:p>
      <w:pPr>
        <w:keepLines w:val="0"/>
        <w:spacing w:before="0" w:after="100" w:line="300" w:lineRule="auto"/>
        <w:ind w:left="29"/>
      </w:pPr>
      <w:r>
        <w:t>☐  If Foundry runtime is included, one fresh synthetic session appears in the Agent Execution Graph with ordered agent, model and tool activity, metadata-only evidence, explicit coverage and no prohibited content fields. Unresolved references are reported and not matched by name.</w:t>
      </w:r>
    </w:p>
    <w:p>
      <w:pPr>
        <w:keepLines w:val="0"/>
        <w:spacing w:before="0" w:after="100" w:line="300" w:lineRule="auto"/>
        <w:ind w:left="29"/>
      </w:pPr>
      <w:r>
        <w:rPr>
          <w:rFonts w:ascii="Calibri" w:hAnsi="Calibri"/>
          <w:b w:val="0"/>
          <w:i w:val="0"/>
          <w:color w:val="233044"/>
          <w:sz w:val="22"/>
        </w:rPr>
        <w:t>☐  If vulnerability evidence is included, the submitted Syft and Grype reports match each other and the artifact independently observed on the selected workload. Raw reports are deleted after processing, and incomplete evidence is not displayed as a zero-vulnerability result.</w:t>
      </w:r>
    </w:p>
    <w:p>
      <w:pPr>
        <w:keepLines w:val="0"/>
        <w:spacing w:before="0" w:after="100" w:line="300" w:lineRule="auto"/>
        <w:ind w:left="29"/>
      </w:pPr>
      <w:r>
        <w:t>☐  Disable and delete behavior is demonstrated, and BEEAH-side Azure, Entra, Azure DevOps and customer-managed Foundry tracing or Application Insights revocation steps are confirmed.</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Operational logs reviewed for the POC contain structured tenant/connection/job identifiers but no tokens, secrets, callback codes or raw provider payloads.</w:t>
      </w:r>
    </w:p>
    <w:p>
      <w:pPr>
        <w:keepLines w:val="0"/>
        <w:spacing w:before="0" w:after="100" w:line="300" w:lineRule="auto"/>
        <w:ind w:left="29"/>
      </w:pPr>
      <w:r>
        <w:t>☐  Azure Repos is limited to the accepted organization, projects and repositories. Foundry runtime collection, when selected, is limited to approved subscriptions and Application Insights metadata. Microsoft 365 workload and Copilot telemetry remain explicitly excluded.</w:t>
      </w:r>
    </w:p>
    <w:p>
      <w:pPr>
        <w:pStyle w:val="Heading1"/>
        <w:keepNext/>
        <w:pageBreakBefore w:val="0"/>
      </w:pPr>
      <w:r>
        <w:rPr>
          <w:rFonts w:ascii="Calibri" w:hAnsi="Calibri"/>
          <w:b/>
          <w:i w:val="0"/>
          <w:color w:val="2E74B5"/>
          <w:sz w:val="32"/>
        </w:rPr>
        <w:t>7 Offboarding and rollback</w:t>
      </w:r>
    </w:p>
    <w:p>
      <w:pPr>
        <w:keepLines w:val="0"/>
        <w:numPr>
          <w:ilvl w:val="0"/>
          <w:numId w:val="53"/>
        </w:numPr>
        <w:spacing w:before="0" w:after="120" w:line="300" w:lineRule="auto"/>
      </w:pPr>
      <w:r>
        <w:t>Disable the BEEAH connections in Denali and stop any further collection, including the scheduled Foundry runtime plane when it was enabled.</w:t>
      </w:r>
    </w:p>
    <w:p>
      <w:pPr>
        <w:keepLines w:val="0"/>
        <w:numPr>
          <w:ilvl w:val="0"/>
          <w:numId w:val="53"/>
        </w:numPr>
        <w:spacing w:before="0" w:after="120" w:line="300" w:lineRule="auto"/>
      </w:pPr>
      <w:r>
        <w:rPr>
          <w:rFonts w:ascii="Calibri" w:hAnsi="Calibri"/>
          <w:b w:val="0"/>
          <w:i w:val="0"/>
          <w:color w:val="233044"/>
          <w:sz w:val="22"/>
        </w:rPr>
        <w:t>Export or retain only the evidence agreed in the POC closeout; apply the agreed retention/deletion period.</w:t>
      </w:r>
    </w:p>
    <w:p>
      <w:pPr>
        <w:keepLines w:val="0"/>
        <w:numPr>
          <w:ilvl w:val="0"/>
          <w:numId w:val="53"/>
        </w:numPr>
        <w:spacing w:before="0" w:after="120" w:line="300" w:lineRule="auto"/>
      </w:pPr>
      <w:r>
        <w:rPr>
          <w:rFonts w:ascii="Calibri" w:hAnsi="Calibri"/>
          <w:b w:val="0"/>
          <w:i w:val="0"/>
          <w:color w:val="233044"/>
          <w:sz w:val="22"/>
        </w:rPr>
        <w:t>Delete the Denali connection configuration after confirmation. Previously collected evidence is handled according to the agreed retention decision.</w:t>
      </w:r>
    </w:p>
    <w:p>
      <w:pPr>
        <w:keepLines w:val="0"/>
        <w:numPr>
          <w:ilvl w:val="0"/>
          <w:numId w:val="53"/>
        </w:numPr>
        <w:spacing w:before="0" w:after="120" w:line="300" w:lineRule="auto"/>
      </w:pPr>
      <w:r>
        <w:t>BEEAH removes Azure Reader role assignments from every selected subscription and revokes or deletes the relevant enterprise applications or application-role grants. If Foundry runtime was included, BEEAH also disconnects or disables the customer-managed tracing configuration according to its observability policy.</w:t>
      </w:r>
    </w:p>
    <w:p>
      <w:pPr>
        <w:keepLines w:val="0"/>
        <w:numPr>
          <w:ilvl w:val="0"/>
          <w:numId w:val="53"/>
        </w:numPr>
        <w:spacing w:before="0" w:after="120" w:line="300" w:lineRule="auto"/>
      </w:pPr>
      <w:r>
        <w:rPr>
          <w:rFonts w:ascii="Calibri" w:hAnsi="Calibri"/>
          <w:b w:val="0"/>
          <w:i w:val="0"/>
          <w:color w:val="233044"/>
          <w:sz w:val="22"/>
        </w:rPr>
        <w:t>BEEAH removes Denali's service principal from the selected Azure DevOps project groups or organization and revokes the Azure DevOps delegated consent. Denali deletes any active Azure Repos connection configuration according to the agreed retention decision.</w:t>
      </w:r>
    </w:p>
    <w:p>
      <w:pPr>
        <w:keepLines w:val="0"/>
        <w:numPr>
          <w:ilvl w:val="0"/>
          <w:numId w:val="53"/>
        </w:numPr>
        <w:spacing w:before="0" w:after="120" w:line="300" w:lineRule="auto"/>
      </w:pPr>
      <w:r>
        <w:rPr>
          <w:rFonts w:ascii="Calibri" w:hAnsi="Calibri"/>
          <w:b w:val="0"/>
          <w:i w:val="0"/>
          <w:color w:val="233044"/>
          <w:sz w:val="22"/>
        </w:rPr>
        <w:t>Both parties verify that validation and collection no longer succeed and record the closeout date and owners.</w:t>
      </w:r>
    </w:p>
    <w:p>
      <w:pPr>
        <w:pStyle w:val="Heading1"/>
        <w:keepNext/>
        <w:pageBreakBefore w:val="0"/>
      </w:pPr>
      <w:r>
        <w:rPr>
          <w:rFonts w:ascii="Calibri" w:hAnsi="Calibri"/>
          <w:b/>
          <w:i w:val="0"/>
          <w:color w:val="2E74B5"/>
          <w:sz w:val="32"/>
        </w:rPr>
        <w:t>8 Information requested from BEEAH</w:t>
      </w:r>
    </w:p>
    <w:tbl>
      <w:tblPr>
        <w:tblW w:type="dxa" w:w="9360"/>
        <w:jc w:val="left"/>
        <w:tblLayout w:type="fixed"/>
        <w:tblLook w:firstColumn="1" w:firstRow="1" w:lastColumn="0" w:lastRow="0" w:noHBand="0" w:noVBand="1" w:val="04A0"/>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3000"/>
        <w:gridCol w:w="6360"/>
      </w:tblGrid>
      <w:tr>
        <w:trPr>
          <w:tblHeader/>
          <w:cantSplit/>
        </w:trPr>
        <w:tc>
          <w:tcPr>
            <w:tcW w:type="dxa" w:w="300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Item</w:t>
            </w:r>
          </w:p>
        </w:tc>
        <w:tc>
          <w:tcPr>
            <w:tcW w:type="dxa" w:w="6360"/>
            <w:shd w:fill="0B2545"/>
            <w:vAlign w:val="center"/>
            <w:tcMar>
              <w:top w:w="80" w:type="dxa"/>
              <w:start w:w="120" w:type="dxa"/>
              <w:bottom w:w="80" w:type="dxa"/>
              <w:end w:w="120" w:type="dxa"/>
            </w:tcMar>
          </w:tcPr>
          <w:p>
            <w:pPr>
              <w:spacing w:before="0" w:after="0" w:line="269" w:lineRule="auto"/>
              <w:jc w:val="left"/>
            </w:pPr>
            <w:r>
              <w:rPr>
                <w:rFonts w:ascii="Calibri" w:hAnsi="Calibri"/>
                <w:b/>
                <w:i w:val="0"/>
                <w:color w:val="FFFFFF"/>
                <w:sz w:val="18"/>
              </w:rPr>
              <w:t>BEEAH response</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Entra tenant ID</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provided through the agreed secure channel</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Sandbox subscription IDs and names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 production subscriptions are excluded by default</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Excluded subscriptions/resource groups/services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Azure DevOps organization/project/repository identifiers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Required when Azure Repos is included: exact organization, project and repository identifiers; no PAT or credential</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Named admin, member, Entra consent, Azure operator, Azure DevOps owner or project administrator, authorized Azure DevOps user and rollback contacts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POC start/end dates and change window</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Data residency, retention and deletion requirements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confirmed before consent</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Customer success criteria</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To be agreed at kickoff</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Microsoft 365 workload requirements</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Confirm whether Entra application discovery meets the POC objective. Exchange, SharePoint, Teams and Copilot workload telemetry are outside the current connector scope.</w:t>
            </w:r>
          </w:p>
        </w:tc>
      </w:tr>
      <w:tr>
        <w:trPr>
          <w:cantSplit/>
        </w:trPr>
        <w:tc>
          <w:tcPr>
            <w:tcW w:type="dxa" w:w="3000"/>
            <w:vAlign w:val="center"/>
            <w:tcMar>
              <w:top w:w="80" w:type="dxa"/>
              <w:start w:w="120" w:type="dxa"/>
              <w:bottom w:w="80" w:type="dxa"/>
              <w:end w:w="120" w:type="dxa"/>
            </w:tcMar>
          </w:tcPr>
          <w:p>
            <w:r>
              <w:t>Azure Foundry runtime option</w:t>
            </w:r>
          </w:p>
        </w:tc>
        <w:tc>
          <w:tcPr>
            <w:tcW w:type="dxa" w:w="6360"/>
            <w:vAlign w:val="center"/>
            <w:tcMar>
              <w:top w:w="80" w:type="dxa"/>
              <w:start w:w="120" w:type="dxa"/>
              <w:bottom w:w="80" w:type="dxa"/>
              <w:end w:w="120" w:type="dxa"/>
            </w:tcMar>
          </w:tcPr>
          <w:p>
            <w:r>
              <w:t>Confirm included or out of scope; if included, name the approved Foundry projects and Application Insights resources, telemetry owner, retention boundary and fresh synthetic acceptance session.</w:t>
            </w:r>
          </w:p>
        </w:tc>
      </w:tr>
      <w:tr>
        <w:trPr>
          <w:cantSplit/>
        </w:trPr>
        <w:tc>
          <w:tcPr>
            <w:tcW w:type="dxa" w:w="300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Vulnerability evidence option</w:t>
            </w:r>
          </w:p>
        </w:tc>
        <w:tc>
          <w:tcPr>
            <w:tcW w:type="dxa" w:w="6360"/>
            <w:vAlign w:val="center"/>
            <w:tcMar>
              <w:top w:w="80" w:type="dxa"/>
              <w:start w:w="120" w:type="dxa"/>
              <w:bottom w:w="80" w:type="dxa"/>
              <w:end w:w="120" w:type="dxa"/>
            </w:tcMar>
          </w:tcPr>
          <w:p>
            <w:pPr>
              <w:spacing w:before="0" w:after="0" w:line="269" w:lineRule="auto"/>
              <w:jc w:val="left"/>
            </w:pPr>
            <w:r>
              <w:rPr>
                <w:rFonts w:ascii="Calibri" w:hAnsi="Calibri"/>
                <w:b w:val="0"/>
                <w:i w:val="0"/>
                <w:color w:val="233044"/>
                <w:sz w:val="18"/>
              </w:rPr>
              <w:t>Confirm phase 1, phase 2 or out of scope; identify the independently observed workload, the CI job that generates matching native Syft and Grype reports, and the Denali admin who will submit them</w:t>
            </w:r>
          </w:p>
        </w:tc>
      </w:tr>
    </w:tbl>
    <w:p>
      <w:pPr>
        <w:spacing w:after="40"/>
      </w:pPr>
    </w:p>
    <w:p>
      <w:pPr>
        <w:spacing w:before="100" w:after="200" w:line="283" w:lineRule="auto"/>
        <w:ind w:left="202" w:right="115"/>
        <w:shd w:fill="EAF6F3"/>
        <w:keepLines/>
        <w:pBdr>
          <w:left w:val="single" w:sz="22" w:space="8" w:color="2D7F78"/>
        </w:pBdr>
      </w:pPr>
      <w:r>
        <w:rPr>
          <w:b/>
        </w:rPr>
        <w:t xml:space="preserve">SECURE EXCHANGE  </w:t>
      </w:r>
      <w:r>
        <w:t>Tenant, subscription, Azure DevOps organization, project, repository, Foundry project and Application Insights resource identifiers are configuration data, not credentials, but they should still be shared through the agreed BEEAH-Transilience channel. Secrets, tokens and private keys must never be sent by email or entered into Denali.</w:t>
      </w:r>
    </w:p>
    <w:p>
      <w:pPr>
        <w:pStyle w:val="Heading1"/>
        <w:keepNext/>
        <w:pageBreakBefore w:val="0"/>
      </w:pPr>
      <w:r>
        <w:rPr>
          <w:rFonts w:ascii="Calibri" w:hAnsi="Calibri"/>
          <w:b/>
          <w:i w:val="0"/>
          <w:color w:val="2E74B5"/>
          <w:sz w:val="32"/>
        </w:rPr>
        <w:t>9 Approval checklist</w:t>
      </w:r>
    </w:p>
    <w:p>
      <w:pPr>
        <w:keepLines w:val="0"/>
        <w:spacing w:before="0" w:after="100" w:line="300" w:lineRule="auto"/>
        <w:ind w:left="29"/>
      </w:pPr>
      <w:r>
        <w:t>☐  Approve the start of a controlled, time-bounded, read-only Azure, Entra and Azure Repos sandbox POC, with Azure Foundry runtime metadata included only if separately checked below.</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Approve Azure Reader assignment only on the explicitly selected sandbox subscriptions.</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Approve separate Microsoft Entra application-discovery consent after reviewing Denali's application identity and the two listed Graph application permissions.</w:t>
      </w:r>
    </w:p>
    <w:p>
      <w:pPr>
        <w:keepLines w:val="0"/>
        <w:spacing w:before="0" w:after="100" w:line="300" w:lineRule="auto"/>
        <w:ind w:left="29"/>
      </w:pPr>
      <w:r>
        <w:rPr>
          <w:rFonts w:ascii="Calibri" w:hAnsi="Calibri"/>
          <w:b w:val="0"/>
          <w:i w:val="0"/>
          <w:color w:val="233044"/>
          <w:sz w:val="22"/>
        </w:rPr>
        <w:t>☐  Approve Azure DevOps vso.code access, Basic access for Denali's service principal and Reader membership only for the explicitly selected projects or repositories.</w:t>
      </w:r>
    </w:p>
    <w:p>
      <w:pPr>
        <w:keepLines w:val="0"/>
        <w:spacing w:before="0" w:after="100" w:line="300" w:lineRule="auto"/>
        <w:ind w:left="29"/>
      </w:pPr>
      <w:r>
        <w:t>☐  If Azure Foundry runtime evidence is included, approve the exact sandbox subscriptions, Foundry projects and Application Insights resources; customer-managed tracing and retention; and Denali's metadata-only query and five-minute collection boundary.</w:t>
      </w:r>
    </w:p>
    <w:p>
      <w:pPr>
        <w:keepLines w:val="0"/>
        <w:spacing w:before="0" w:after="100" w:line="300" w:lineRule="auto"/>
        <w:ind w:left="29"/>
      </w:pPr>
      <w:r>
        <w:rPr>
          <w:rFonts w:ascii="Calibri" w:hAnsi="Calibri"/>
          <w:b w:val="0"/>
          <w:i w:val="0"/>
          <w:color w:val="233044"/>
          <w:sz w:val="22"/>
        </w:rPr>
        <w:t>☐  If vulnerability evidence is included, approve organization-admin submission of one matching native Syft and Grype report pair for an independently observed workload, subject to the documented size, retention and artifact-matching controls.</w:t>
      </w:r>
    </w:p>
    <w:p>
      <w:pPr>
        <w:keepLines w:val="0"/>
        <w:spacing w:before="0" w:after="100" w:line="300" w:lineRule="auto"/>
        <w:ind w:left="29"/>
      </w:pPr>
      <w:r>
        <w:t>☐  Confirm that Exchange, SharePoint, OneDrive, Teams, Microsoft 365 Copilot content or telemetry, and Foundry prompt, response, system-instruction and tool payload content remain outside this POC.</w:t>
      </w:r>
    </w:p>
    <w:p>
      <w:pPr>
        <w:keepLines w:val="0"/>
        <w:spacing w:before="0" w:after="100" w:line="300" w:lineRule="auto"/>
        <w:ind w:left="29"/>
      </w:pPr>
      <w:r>
        <w:rPr>
          <w:rFonts w:ascii="Calibri" w:hAnsi="Calibri"/>
          <w:b w:val="0"/>
          <w:i w:val="0"/>
          <w:color w:val="233044"/>
          <w:sz w:val="22"/>
        </w:rPr>
      </w:r>
      <w:r>
        <w:rPr>
          <w:rFonts w:ascii="Calibri" w:hAnsi="Calibri"/>
          <w:b w:val="0"/>
          <w:i w:val="0"/>
          <w:color w:val="2E74B5"/>
          <w:sz w:val="24"/>
        </w:rPr>
        <w:t xml:space="preserve">☐  </w:t>
      </w:r>
      <w:r>
        <w:rPr>
          <w:rFonts w:ascii="Calibri" w:hAnsi="Calibri"/>
          <w:b w:val="0"/>
          <w:i w:val="0"/>
          <w:color w:val="233044"/>
          <w:sz w:val="21"/>
        </w:rPr>
        <w:t>Confirm data residency, retention and deletion requirements, security contacts, POC dates and success criteria.</w:t>
      </w:r>
    </w:p>
    <w:p>
      <w:pPr>
        <w:spacing w:before="280" w:after="0"/>
        <w:jc w:val="center"/>
      </w:pPr>
      <w:r>
        <w:rPr>
          <w:rFonts w:ascii="Calibri" w:hAnsi="Calibri"/>
          <w:b w:val="0"/>
          <w:i/>
          <w:color w:val="5F6B7A"/>
          <w:sz w:val="18"/>
        </w:rPr>
        <w:t>End of onboarding brief</w:t>
      </w: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b w:val="0"/>
        <w:i w:val="0"/>
        <w:color w:val="5F6B7A"/>
        <w:sz w:val="17"/>
      </w:rPr>
      <w:t xml:space="preserve">BEEAH / Transilience — Confidential  |  Page </w:t>
    </w:r>
    <w:r>
      <w:rPr>
        <w:rFonts w:ascii="Calibri" w:hAnsi="Calibri"/>
        <w:b w:val="0"/>
        <w:i w:val="0"/>
        <w:color w:val="5F6B7A"/>
        <w:sz w:val="17"/>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b w:val="0"/>
        <w:i w:val="0"/>
        <w:color w:val="5F6B7A"/>
        <w:sz w:val="17"/>
      </w:rPr>
      <w:t xml:space="preserve">BEEAH / Transilience — Confidential  |  Page </w:t>
    </w:r>
    <w:r>
      <w:rPr>
        <w:rFonts w:ascii="Calibri" w:hAnsi="Calibri"/>
        <w:b w:val="0"/>
        <w:i w:val="0"/>
        <w:color w:val="5F6B7A"/>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EE6B4D"/>
      </w:pBdr>
    </w:pPr>
    <w:r>
      <w:rPr>
        <w:rFonts w:ascii="Calibri" w:hAnsi="Calibri"/>
        <w:b/>
        <w:i w:val="0"/>
        <w:color w:val="0B2545"/>
        <w:sz w:val="17"/>
      </w:rPr>
      <w:t>DENALI  |  BEEAH POC ONBOARDING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6" w:color="EE6B4D"/>
      </w:pBdr>
    </w:pPr>
    <w:r>
      <w:rPr>
        <w:rFonts w:ascii="Calibri" w:hAnsi="Calibri"/>
        <w:b/>
        <w:i w:val="0"/>
        <w:color w:val="0B2545"/>
        <w:sz w:val="17"/>
      </w:rPr>
      <w:t>DENALI  |  BEEAH POC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270"/>
        </w:tabs>
        <w:ind w:left="540" w:hanging="270"/>
      </w:pPr>
    </w:lvl>
  </w:abstractNum>
  <w:num w:numId="51">
    <w:abstractNumId w:val="41"/>
  </w:num>
  <w:abstractNum w:abstractNumId="42">
    <w:multiLevelType w:val="singleLevel"/>
    <w:lvl w:ilvl="0">
      <w:start w:val="1"/>
      <w:numFmt w:val="decimal"/>
      <w:lvlText w:val="%1."/>
      <w:suff w:val="tab"/>
      <w:pPr>
        <w:tabs>
          <w:tab w:val="num" w:pos="270"/>
        </w:tabs>
        <w:ind w:left="540" w:hanging="270"/>
      </w:pPr>
    </w:lvl>
  </w:abstractNum>
  <w:num w:numId="52">
    <w:abstractNumId w:val="42"/>
  </w:num>
  <w:abstractNum w:abstractNumId="43">
    <w:multiLevelType w:val="singleLevel"/>
    <w:lvl w:ilvl="0">
      <w:start w:val="1"/>
      <w:numFmt w:val="decimal"/>
      <w:lvlText w:val="%1."/>
      <w:suff w:val="tab"/>
      <w:pPr>
        <w:tabs>
          <w:tab w:val="num" w:pos="270"/>
        </w:tabs>
        <w:ind w:left="540" w:hanging="270"/>
      </w:pPr>
    </w:lvl>
  </w:abstractNum>
  <w:num w:numId="5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330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BEEAH Azure, Microsoft Entra, Azure Repos and Foundry onboarding plan</dc:title>
  <dc:subject>Denali proof of concept onboarding plan</dc:subject>
  <dc:creator/>
  <cp:keywords>Denali, BEEAH, Azure, Microsoft Entra, Azure Repos, Azure Foundry, POC, onboarding</cp:keywords>
  <dc:description>Prepared for BEEAH CISO review; no secret values included.</dc:description>
  <cp:lastModifiedBy/>
  <cp:revision>1</cp:revision>
  <dcterms:created xsi:type="dcterms:W3CDTF">2013-12-23T23:15:00Z</dcterms:created>
  <dcterms:modified xsi:type="dcterms:W3CDTF">2013-12-23T23:15:00Z</dcterms:modified>
  <cp:category/>
  <cp:version>0.5</cp:version>
</cp:coreProperties>
</file>