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7D9" w:rsidRPr="006C67D9" w:rsidRDefault="006C67D9" w:rsidP="006C67D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362A08">
        <w:rPr>
          <w:rFonts w:ascii="Times New Roman" w:eastAsia="Times New Roman" w:hAnsi="Times New Roman" w:cs="Times New Roman"/>
          <w:b/>
          <w:bCs/>
          <w:kern w:val="36"/>
          <w:sz w:val="48"/>
          <w:szCs w:val="48"/>
          <w:highlight w:val="yellow"/>
          <w:lang w:eastAsia="es-AR"/>
        </w:rPr>
        <w:t>241227CL</w:t>
      </w:r>
      <w:r w:rsidR="00362A08">
        <w:rPr>
          <w:rFonts w:ascii="Times New Roman" w:eastAsia="Times New Roman" w:hAnsi="Times New Roman" w:cs="Times New Roman"/>
          <w:b/>
          <w:bCs/>
          <w:kern w:val="36"/>
          <w:sz w:val="48"/>
          <w:szCs w:val="48"/>
          <w:highlight w:val="yellow"/>
          <w:lang w:eastAsia="es-AR"/>
        </w:rPr>
        <w:t>01</w:t>
      </w:r>
      <w:bookmarkStart w:id="0" w:name="_GoBack"/>
      <w:bookmarkEnd w:id="0"/>
      <w:r w:rsidRPr="00362A08">
        <w:rPr>
          <w:rFonts w:ascii="Times New Roman" w:eastAsia="Times New Roman" w:hAnsi="Times New Roman" w:cs="Times New Roman"/>
          <w:b/>
          <w:bCs/>
          <w:kern w:val="36"/>
          <w:sz w:val="48"/>
          <w:szCs w:val="48"/>
          <w:highlight w:val="yellow"/>
          <w:lang w:eastAsia="es-AR"/>
        </w:rPr>
        <w:t xml:space="preserve"> El blanqueo de capitales pegó otro salto y ya supera los 32 mil millones de dólares, según el Gobierno</w:t>
      </w:r>
    </w:p>
    <w:p w:rsidR="006C67D9" w:rsidRPr="006C67D9" w:rsidRDefault="006C67D9" w:rsidP="006C67D9">
      <w:pPr>
        <w:spacing w:before="100" w:beforeAutospacing="1" w:after="100" w:afterAutospacing="1" w:line="240" w:lineRule="auto"/>
        <w:outlineLvl w:val="1"/>
        <w:rPr>
          <w:rFonts w:ascii="Arial" w:eastAsia="Times New Roman" w:hAnsi="Arial" w:cs="Arial"/>
          <w:bCs/>
          <w:sz w:val="24"/>
          <w:szCs w:val="24"/>
          <w:lang w:eastAsia="es-AR"/>
        </w:rPr>
      </w:pPr>
      <w:r w:rsidRPr="006C67D9">
        <w:rPr>
          <w:rFonts w:ascii="Arial" w:eastAsia="Times New Roman" w:hAnsi="Arial" w:cs="Arial"/>
          <w:bCs/>
          <w:sz w:val="24"/>
          <w:szCs w:val="24"/>
          <w:lang w:eastAsia="es-AR"/>
        </w:rPr>
        <w:t xml:space="preserve">Lo difundió el vocero presidencial Manuel </w:t>
      </w:r>
      <w:proofErr w:type="spellStart"/>
      <w:r w:rsidRPr="006C67D9">
        <w:rPr>
          <w:rFonts w:ascii="Arial" w:eastAsia="Times New Roman" w:hAnsi="Arial" w:cs="Arial"/>
          <w:bCs/>
          <w:sz w:val="24"/>
          <w:szCs w:val="24"/>
          <w:lang w:eastAsia="es-AR"/>
        </w:rPr>
        <w:t>Adorni</w:t>
      </w:r>
      <w:proofErr w:type="spellEnd"/>
      <w:r w:rsidRPr="006C67D9">
        <w:rPr>
          <w:rFonts w:ascii="Arial" w:eastAsia="Times New Roman" w:hAnsi="Arial" w:cs="Arial"/>
          <w:bCs/>
          <w:sz w:val="24"/>
          <w:szCs w:val="24"/>
          <w:lang w:eastAsia="es-AR"/>
        </w:rPr>
        <w:t>.</w:t>
      </w:r>
    </w:p>
    <w:p w:rsidR="006C67D9" w:rsidRPr="006C67D9" w:rsidRDefault="006C67D9" w:rsidP="006C67D9">
      <w:pPr>
        <w:spacing w:before="100" w:beforeAutospacing="1" w:after="100" w:afterAutospacing="1" w:line="240" w:lineRule="auto"/>
        <w:outlineLvl w:val="1"/>
        <w:rPr>
          <w:rFonts w:ascii="Arial" w:eastAsia="Times New Roman" w:hAnsi="Arial" w:cs="Arial"/>
          <w:bCs/>
          <w:sz w:val="24"/>
          <w:szCs w:val="24"/>
          <w:lang w:eastAsia="es-AR"/>
        </w:rPr>
      </w:pPr>
      <w:r w:rsidRPr="006C67D9">
        <w:rPr>
          <w:rFonts w:ascii="Arial" w:eastAsia="Times New Roman" w:hAnsi="Arial" w:cs="Arial"/>
          <w:bCs/>
          <w:sz w:val="24"/>
          <w:szCs w:val="24"/>
          <w:lang w:eastAsia="es-AR"/>
        </w:rPr>
        <w:t>Se registró una gran suba en la declaración de inmuebles y cuentas en el exterior.</w:t>
      </w:r>
    </w:p>
    <w:p w:rsidR="006C67D9" w:rsidRPr="006C67D9" w:rsidRDefault="006C67D9" w:rsidP="006C67D9">
      <w:pPr>
        <w:pStyle w:val="NormalWeb"/>
        <w:rPr>
          <w:rFonts w:ascii="Arial" w:hAnsi="Arial" w:cs="Arial"/>
        </w:rPr>
      </w:pPr>
      <w:r w:rsidRPr="00362A08">
        <w:rPr>
          <w:rFonts w:ascii="Arial" w:hAnsi="Arial" w:cs="Arial"/>
          <w:highlight w:val="yellow"/>
        </w:rPr>
        <w:t xml:space="preserve">El Gobierno difundió este jueves los datos acumulados en 2024 del ingreso al </w:t>
      </w:r>
      <w:r w:rsidRPr="00362A08">
        <w:rPr>
          <w:rStyle w:val="Strong"/>
          <w:rFonts w:ascii="Arial" w:hAnsi="Arial" w:cs="Arial"/>
          <w:highlight w:val="yellow"/>
        </w:rPr>
        <w:t>blanqueo de capitales</w:t>
      </w:r>
      <w:r w:rsidRPr="006C67D9">
        <w:rPr>
          <w:rFonts w:ascii="Arial" w:hAnsi="Arial" w:cs="Arial"/>
        </w:rPr>
        <w:t xml:space="preserve">. Fue el vocero presidencial </w:t>
      </w:r>
      <w:r w:rsidRPr="00362A08">
        <w:rPr>
          <w:rFonts w:ascii="Arial" w:hAnsi="Arial" w:cs="Arial"/>
          <w:highlight w:val="yellow"/>
        </w:rPr>
        <w:t xml:space="preserve">Manuel </w:t>
      </w:r>
      <w:proofErr w:type="spellStart"/>
      <w:r w:rsidRPr="00362A08">
        <w:rPr>
          <w:rFonts w:ascii="Arial" w:hAnsi="Arial" w:cs="Arial"/>
          <w:highlight w:val="yellow"/>
        </w:rPr>
        <w:t>Adorni</w:t>
      </w:r>
      <w:proofErr w:type="spellEnd"/>
      <w:r w:rsidRPr="006C67D9">
        <w:rPr>
          <w:rFonts w:ascii="Arial" w:hAnsi="Arial" w:cs="Arial"/>
        </w:rPr>
        <w:t xml:space="preserve"> quien difundió el dato, al postear en sus redes que "</w:t>
      </w:r>
      <w:r w:rsidRPr="00362A08">
        <w:rPr>
          <w:rFonts w:ascii="Arial" w:hAnsi="Arial" w:cs="Arial"/>
          <w:highlight w:val="yellow"/>
        </w:rPr>
        <w:t xml:space="preserve">los argentinos regularizaron durante la primera etapa de la regularización de activos </w:t>
      </w:r>
      <w:r w:rsidRPr="00362A08">
        <w:rPr>
          <w:rStyle w:val="Strong"/>
          <w:rFonts w:ascii="Arial" w:hAnsi="Arial" w:cs="Arial"/>
          <w:highlight w:val="yellow"/>
        </w:rPr>
        <w:t>bienes por 32.151 millones de dólares".</w:t>
      </w:r>
    </w:p>
    <w:p w:rsidR="006C67D9" w:rsidRPr="006C67D9" w:rsidRDefault="006C67D9" w:rsidP="006C67D9">
      <w:pPr>
        <w:pStyle w:val="NormalWeb"/>
        <w:rPr>
          <w:rFonts w:ascii="Arial" w:hAnsi="Arial" w:cs="Arial"/>
        </w:rPr>
      </w:pPr>
      <w:r w:rsidRPr="006C67D9">
        <w:rPr>
          <w:rFonts w:ascii="Arial" w:hAnsi="Arial" w:cs="Arial"/>
        </w:rPr>
        <w:t xml:space="preserve">En un breve desglose, el funcionario con rango ministerial puntualizó, como balance del año, tres variables más. Sostuvo que </w:t>
      </w:r>
      <w:r w:rsidRPr="00362A08">
        <w:rPr>
          <w:rFonts w:ascii="Arial" w:hAnsi="Arial" w:cs="Arial"/>
          <w:highlight w:val="yellow"/>
        </w:rPr>
        <w:t xml:space="preserve">"se </w:t>
      </w:r>
      <w:r w:rsidRPr="00362A08">
        <w:rPr>
          <w:rStyle w:val="Strong"/>
          <w:rFonts w:ascii="Arial" w:hAnsi="Arial" w:cs="Arial"/>
          <w:highlight w:val="yellow"/>
        </w:rPr>
        <w:t>abrieron 338.955 cuentas</w:t>
      </w:r>
      <w:r w:rsidRPr="00362A08">
        <w:rPr>
          <w:rFonts w:ascii="Arial" w:hAnsi="Arial" w:cs="Arial"/>
          <w:highlight w:val="yellow"/>
        </w:rPr>
        <w:t xml:space="preserve"> en la Argentina", que "se declararon </w:t>
      </w:r>
      <w:r w:rsidRPr="00362A08">
        <w:rPr>
          <w:rStyle w:val="Strong"/>
          <w:rFonts w:ascii="Arial" w:hAnsi="Arial" w:cs="Arial"/>
          <w:highlight w:val="yellow"/>
        </w:rPr>
        <w:t>15.403 cuentas en el exterior</w:t>
      </w:r>
      <w:r w:rsidRPr="00362A08">
        <w:rPr>
          <w:rFonts w:ascii="Arial" w:hAnsi="Arial" w:cs="Arial"/>
          <w:highlight w:val="yellow"/>
        </w:rPr>
        <w:t xml:space="preserve">" y que "se declararon </w:t>
      </w:r>
      <w:r w:rsidRPr="00362A08">
        <w:rPr>
          <w:rStyle w:val="Strong"/>
          <w:rFonts w:ascii="Arial" w:hAnsi="Arial" w:cs="Arial"/>
          <w:highlight w:val="yellow"/>
        </w:rPr>
        <w:t>42.545 inmuebles</w:t>
      </w:r>
      <w:r w:rsidRPr="00362A08">
        <w:rPr>
          <w:rFonts w:ascii="Arial" w:hAnsi="Arial" w:cs="Arial"/>
          <w:highlight w:val="yellow"/>
        </w:rPr>
        <w:t>".</w:t>
      </w:r>
    </w:p>
    <w:p w:rsidR="006C67D9" w:rsidRPr="006C67D9" w:rsidRDefault="006C67D9" w:rsidP="006C67D9">
      <w:pPr>
        <w:pStyle w:val="NormalWeb"/>
        <w:rPr>
          <w:rFonts w:ascii="Arial" w:hAnsi="Arial" w:cs="Arial"/>
        </w:rPr>
      </w:pPr>
      <w:r w:rsidRPr="006C67D9">
        <w:rPr>
          <w:rFonts w:ascii="Arial" w:hAnsi="Arial" w:cs="Arial"/>
        </w:rPr>
        <w:t>El nuevo balance muestra un crecimiento considerable respecto a las cifras reportadas al cierre de la primera etapa del programa hace un mes. En esa oportunidad, ARCA (ex AFIP) había informado la regularización de bienes por un total de 23.321 millones de dólares.</w:t>
      </w:r>
    </w:p>
    <w:p w:rsidR="006C67D9" w:rsidRPr="006C67D9" w:rsidRDefault="006C67D9" w:rsidP="006C67D9">
      <w:pPr>
        <w:pStyle w:val="NormalWeb"/>
        <w:rPr>
          <w:rFonts w:ascii="Arial" w:hAnsi="Arial" w:cs="Arial"/>
        </w:rPr>
      </w:pPr>
      <w:r w:rsidRPr="00362A08">
        <w:rPr>
          <w:rFonts w:ascii="Arial" w:hAnsi="Arial" w:cs="Arial"/>
          <w:highlight w:val="yellow"/>
        </w:rPr>
        <w:t xml:space="preserve">En términos de cuentas bancarias, el incremento fue marginal. Mientras que en noviembre se habían abierto 330.793 cuentas CERA, el acumulado al cierre de 2024 asciende ahora a 338.955. Por su parte, las cuentas en el exterior declaradas pasaron de 6.491 en noviembre a 15.403 en diciembre, </w:t>
      </w:r>
      <w:r w:rsidRPr="00362A08">
        <w:rPr>
          <w:rFonts w:ascii="Arial" w:hAnsi="Arial" w:cs="Arial"/>
        </w:rPr>
        <w:t>un aumento significativo que refleja un creciente interés en blanquear bienes fuera del país.</w:t>
      </w:r>
    </w:p>
    <w:p w:rsidR="006C67D9" w:rsidRPr="006C67D9" w:rsidRDefault="006C67D9" w:rsidP="006C67D9">
      <w:pPr>
        <w:pStyle w:val="NormalWeb"/>
        <w:rPr>
          <w:rFonts w:ascii="Arial" w:hAnsi="Arial" w:cs="Arial"/>
        </w:rPr>
      </w:pPr>
      <w:r w:rsidRPr="00362A08">
        <w:rPr>
          <w:rFonts w:ascii="Arial" w:hAnsi="Arial" w:cs="Arial"/>
          <w:highlight w:val="yellow"/>
        </w:rPr>
        <w:t>El rubro de los inmuebles también mostró una expansión notable. En noviembre se habían declarado 14.810, de los cuales 550 estaban en el exterior. Ahora, con 42.545 inmuebles registrados en total, el crecimiento en este apartado es más del 187%.</w:t>
      </w:r>
    </w:p>
    <w:p w:rsidR="006C67D9" w:rsidRPr="006C67D9" w:rsidRDefault="006C67D9" w:rsidP="006C67D9">
      <w:pPr>
        <w:spacing w:before="100" w:beforeAutospacing="1" w:after="100" w:afterAutospacing="1" w:line="240" w:lineRule="auto"/>
        <w:rPr>
          <w:rFonts w:ascii="Arial" w:eastAsia="Times New Roman" w:hAnsi="Arial" w:cs="Arial"/>
          <w:sz w:val="24"/>
          <w:szCs w:val="24"/>
          <w:lang w:eastAsia="es-AR"/>
        </w:rPr>
      </w:pPr>
      <w:r w:rsidRPr="006C67D9">
        <w:rPr>
          <w:rFonts w:ascii="Arial" w:eastAsia="Times New Roman" w:hAnsi="Arial" w:cs="Arial"/>
          <w:sz w:val="24"/>
          <w:szCs w:val="24"/>
          <w:lang w:eastAsia="es-AR"/>
        </w:rPr>
        <w:t xml:space="preserve">Desde que comenzó el programa, en julio de 2024, </w:t>
      </w:r>
      <w:r w:rsidRPr="00362A08">
        <w:rPr>
          <w:rFonts w:ascii="Arial" w:eastAsia="Times New Roman" w:hAnsi="Arial" w:cs="Arial"/>
          <w:sz w:val="24"/>
          <w:szCs w:val="24"/>
          <w:highlight w:val="yellow"/>
          <w:lang w:eastAsia="es-AR"/>
        </w:rPr>
        <w:t>el blanqueo se transformó, según especialistas, en una clave para sostener la estabilidad cambiaria. De acuerdo a ARCA, la primera etapa permitió al Banco Central incrementar sus reservas a partir de la compra de divisas. Este movimiento también contribuyó a una caída del 20% en los dólares alternativos</w:t>
      </w:r>
      <w:r w:rsidRPr="006C67D9">
        <w:rPr>
          <w:rFonts w:ascii="Arial" w:eastAsia="Times New Roman" w:hAnsi="Arial" w:cs="Arial"/>
          <w:sz w:val="24"/>
          <w:szCs w:val="24"/>
          <w:lang w:eastAsia="es-AR"/>
        </w:rPr>
        <w:t>, dinamizando la economía formal.</w:t>
      </w:r>
    </w:p>
    <w:p w:rsidR="006C67D9" w:rsidRPr="006C67D9" w:rsidRDefault="006C67D9" w:rsidP="006C67D9">
      <w:pPr>
        <w:spacing w:before="100" w:beforeAutospacing="1" w:after="100" w:afterAutospacing="1" w:line="240" w:lineRule="auto"/>
        <w:rPr>
          <w:rFonts w:ascii="Arial" w:eastAsia="Times New Roman" w:hAnsi="Arial" w:cs="Arial"/>
          <w:sz w:val="24"/>
          <w:szCs w:val="24"/>
          <w:lang w:eastAsia="es-AR"/>
        </w:rPr>
      </w:pPr>
      <w:r w:rsidRPr="00362A08">
        <w:rPr>
          <w:rFonts w:ascii="Arial" w:eastAsia="Times New Roman" w:hAnsi="Arial" w:cs="Arial"/>
          <w:sz w:val="24"/>
          <w:szCs w:val="24"/>
          <w:highlight w:val="yellow"/>
          <w:lang w:eastAsia="es-AR"/>
        </w:rPr>
        <w:t xml:space="preserve">El nuevo saldo, que muestra un aumento del 38% en los bienes regularizados respecto a noviembre, se explica en parte por la extensión de los plazos de la primera etapa y el inicio de la segunda, previsto para finalizar el 31 de enero de 2025. Esta etapa habilita el blanqueo de propiedades, cuentas en el exterior y </w:t>
      </w:r>
      <w:r w:rsidRPr="00362A08">
        <w:rPr>
          <w:rFonts w:ascii="Arial" w:eastAsia="Times New Roman" w:hAnsi="Arial" w:cs="Arial"/>
          <w:sz w:val="24"/>
          <w:szCs w:val="24"/>
          <w:highlight w:val="yellow"/>
          <w:lang w:eastAsia="es-AR"/>
        </w:rPr>
        <w:lastRenderedPageBreak/>
        <w:t>otros bienes con una alícuota del 10%, incentivando a los contribuyentes a declarar activos que no habían sido incluidos previamente.</w:t>
      </w:r>
    </w:p>
    <w:p w:rsidR="006C67D9" w:rsidRPr="006C67D9" w:rsidRDefault="006C67D9" w:rsidP="006C67D9">
      <w:pPr>
        <w:spacing w:before="100" w:beforeAutospacing="1" w:after="100" w:afterAutospacing="1" w:line="240" w:lineRule="auto"/>
        <w:outlineLvl w:val="1"/>
        <w:rPr>
          <w:rFonts w:ascii="Arial" w:eastAsia="Times New Roman" w:hAnsi="Arial" w:cs="Arial"/>
          <w:bCs/>
          <w:sz w:val="24"/>
          <w:szCs w:val="24"/>
          <w:lang w:eastAsia="es-AR"/>
        </w:rPr>
      </w:pPr>
      <w:r w:rsidRPr="006C67D9">
        <w:rPr>
          <w:rFonts w:ascii="Arial" w:eastAsia="Times New Roman" w:hAnsi="Arial" w:cs="Arial"/>
          <w:bCs/>
          <w:sz w:val="24"/>
          <w:szCs w:val="24"/>
          <w:lang w:eastAsia="es-AR"/>
        </w:rPr>
        <w:t>Blanqueo de capitales: plazos y alícuotas de las etapas 2 y 3</w:t>
      </w:r>
    </w:p>
    <w:p w:rsidR="006C67D9" w:rsidRPr="006C67D9" w:rsidRDefault="006C67D9" w:rsidP="006C67D9">
      <w:pPr>
        <w:spacing w:before="100" w:beforeAutospacing="1" w:after="100" w:afterAutospacing="1" w:line="240" w:lineRule="auto"/>
        <w:rPr>
          <w:rFonts w:ascii="Arial" w:eastAsia="Times New Roman" w:hAnsi="Arial" w:cs="Arial"/>
          <w:sz w:val="24"/>
          <w:szCs w:val="24"/>
          <w:lang w:eastAsia="es-AR"/>
        </w:rPr>
      </w:pPr>
      <w:r w:rsidRPr="006C67D9">
        <w:rPr>
          <w:rFonts w:ascii="Arial" w:eastAsia="Times New Roman" w:hAnsi="Arial" w:cs="Arial"/>
          <w:sz w:val="24"/>
          <w:szCs w:val="24"/>
          <w:lang w:eastAsia="es-AR"/>
        </w:rPr>
        <w:t>Desde julio de este año, cuando la ley fue sancionada por el Congreso y luego reglamentada por el decreto 608/2024, ARCA dictó las normas correspondientes para reglamentar e instrumentar los distintos aspectos contemplados en la iniciativa, como la documentación necesaria para acreditar la titularidad y la valuación de los bienes declarados, el Registro de Proyectos Inmobiliarios (REPI) y la habilitación para pagar el impuesto especial desde una transferencia bancaria internacional, entre otras cuestiones relevantes.</w:t>
      </w:r>
    </w:p>
    <w:p w:rsidR="006C67D9" w:rsidRPr="006C67D9" w:rsidRDefault="006C67D9" w:rsidP="006C67D9">
      <w:pPr>
        <w:spacing w:before="100" w:beforeAutospacing="1" w:after="100" w:afterAutospacing="1" w:line="240" w:lineRule="auto"/>
        <w:rPr>
          <w:rFonts w:ascii="Arial" w:eastAsia="Times New Roman" w:hAnsi="Arial" w:cs="Arial"/>
          <w:sz w:val="24"/>
          <w:szCs w:val="24"/>
          <w:lang w:eastAsia="es-AR"/>
        </w:rPr>
      </w:pPr>
      <w:r w:rsidRPr="00362A08">
        <w:rPr>
          <w:rFonts w:ascii="Arial" w:eastAsia="Times New Roman" w:hAnsi="Arial" w:cs="Arial"/>
          <w:sz w:val="24"/>
          <w:szCs w:val="24"/>
          <w:highlight w:val="yellow"/>
          <w:lang w:eastAsia="es-AR"/>
        </w:rPr>
        <w:t>El régimen de regularización de activos no tiene costo para los contribuyentes en los casos en los que los bienes declarados no superen los US$ 100.000.</w:t>
      </w:r>
    </w:p>
    <w:p w:rsidR="006C67D9" w:rsidRPr="006C67D9" w:rsidRDefault="006C67D9" w:rsidP="006C67D9">
      <w:pPr>
        <w:spacing w:before="100" w:beforeAutospacing="1" w:after="100" w:afterAutospacing="1" w:line="240" w:lineRule="auto"/>
        <w:rPr>
          <w:rFonts w:ascii="Arial" w:eastAsia="Times New Roman" w:hAnsi="Arial" w:cs="Arial"/>
          <w:sz w:val="24"/>
          <w:szCs w:val="24"/>
          <w:lang w:eastAsia="es-AR"/>
        </w:rPr>
      </w:pPr>
      <w:r w:rsidRPr="006C67D9">
        <w:rPr>
          <w:rFonts w:ascii="Arial" w:eastAsia="Times New Roman" w:hAnsi="Arial" w:cs="Arial"/>
          <w:sz w:val="24"/>
          <w:szCs w:val="24"/>
          <w:lang w:eastAsia="es-AR"/>
        </w:rPr>
        <w:t>Las etapas 2 y 3 del blanqueo tienen estas condiciones.</w:t>
      </w:r>
    </w:p>
    <w:p w:rsidR="006C67D9" w:rsidRPr="00362A08" w:rsidRDefault="006C67D9" w:rsidP="006C67D9">
      <w:pPr>
        <w:pStyle w:val="NormalWeb"/>
        <w:rPr>
          <w:rFonts w:ascii="Arial" w:hAnsi="Arial" w:cs="Arial"/>
          <w:highlight w:val="yellow"/>
        </w:rPr>
      </w:pPr>
      <w:r w:rsidRPr="00362A08">
        <w:rPr>
          <w:rFonts w:ascii="Arial" w:hAnsi="Arial" w:cs="Arial"/>
          <w:highlight w:val="yellow"/>
        </w:rPr>
        <w:t>En la etapa 2, hasta el 31 de enero de 2025 inclusive hay plazo para realizar la adhesión y el pago del anticipo obligatorio. Y hasta el 28 de febrero hay tiempo para presentar la declaración jurada y el pago del impuesto de regularización. En este caso, la alícuota a pagar sobre los bienes declarados es del 10%.</w:t>
      </w:r>
    </w:p>
    <w:p w:rsidR="006C67D9" w:rsidRPr="006C67D9" w:rsidRDefault="006C67D9" w:rsidP="006C67D9">
      <w:pPr>
        <w:pStyle w:val="NormalWeb"/>
        <w:rPr>
          <w:rFonts w:ascii="Arial" w:hAnsi="Arial" w:cs="Arial"/>
        </w:rPr>
      </w:pPr>
      <w:r w:rsidRPr="00362A08">
        <w:rPr>
          <w:rFonts w:ascii="Arial" w:hAnsi="Arial" w:cs="Arial"/>
          <w:highlight w:val="yellow"/>
        </w:rPr>
        <w:t>En la etapa 3, hasta el 30 de abril de 2025, inclusive hay plazo para realizar la adhesión y el pago adelantado obligatorio. Y el vencimiento del plazo para presentar la DDJJ y el pago del impuesto de regularización es el 30 de mayo de 2025, inclusive. En esta etapa la alícuota sube al 15%.</w:t>
      </w:r>
    </w:p>
    <w:p w:rsidR="003F6126" w:rsidRPr="006F02B7" w:rsidRDefault="00362A08">
      <w:pPr>
        <w:rPr>
          <w:rFonts w:ascii="Arial" w:hAnsi="Arial" w:cs="Arial"/>
          <w:sz w:val="24"/>
          <w:szCs w:val="24"/>
        </w:rPr>
      </w:pPr>
    </w:p>
    <w:sectPr w:rsidR="003F6126" w:rsidRPr="006F02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7521C"/>
    <w:multiLevelType w:val="multilevel"/>
    <w:tmpl w:val="81CA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7D9"/>
    <w:rsid w:val="00362A08"/>
    <w:rsid w:val="004254FE"/>
    <w:rsid w:val="006C67D9"/>
    <w:rsid w:val="006F02B7"/>
    <w:rsid w:val="00C16D9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67D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6C67D9"/>
    <w:rPr>
      <w:b/>
      <w:bCs/>
    </w:rPr>
  </w:style>
  <w:style w:type="paragraph" w:customStyle="1" w:styleId="com-paragraph">
    <w:name w:val="com-paragraph"/>
    <w:basedOn w:val="Normal"/>
    <w:rsid w:val="006C67D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yperlink">
    <w:name w:val="Hyperlink"/>
    <w:basedOn w:val="DefaultParagraphFont"/>
    <w:uiPriority w:val="99"/>
    <w:semiHidden/>
    <w:unhideWhenUsed/>
    <w:rsid w:val="006C67D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67D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6C67D9"/>
    <w:rPr>
      <w:b/>
      <w:bCs/>
    </w:rPr>
  </w:style>
  <w:style w:type="paragraph" w:customStyle="1" w:styleId="com-paragraph">
    <w:name w:val="com-paragraph"/>
    <w:basedOn w:val="Normal"/>
    <w:rsid w:val="006C67D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yperlink">
    <w:name w:val="Hyperlink"/>
    <w:basedOn w:val="DefaultParagraphFont"/>
    <w:uiPriority w:val="99"/>
    <w:semiHidden/>
    <w:unhideWhenUsed/>
    <w:rsid w:val="006C67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208519">
      <w:bodyDiv w:val="1"/>
      <w:marLeft w:val="0"/>
      <w:marRight w:val="0"/>
      <w:marTop w:val="0"/>
      <w:marBottom w:val="0"/>
      <w:divBdr>
        <w:top w:val="none" w:sz="0" w:space="0" w:color="auto"/>
        <w:left w:val="none" w:sz="0" w:space="0" w:color="auto"/>
        <w:bottom w:val="none" w:sz="0" w:space="0" w:color="auto"/>
        <w:right w:val="none" w:sz="0" w:space="0" w:color="auto"/>
      </w:divBdr>
    </w:div>
    <w:div w:id="420490516">
      <w:bodyDiv w:val="1"/>
      <w:marLeft w:val="0"/>
      <w:marRight w:val="0"/>
      <w:marTop w:val="0"/>
      <w:marBottom w:val="0"/>
      <w:divBdr>
        <w:top w:val="none" w:sz="0" w:space="0" w:color="auto"/>
        <w:left w:val="none" w:sz="0" w:space="0" w:color="auto"/>
        <w:bottom w:val="none" w:sz="0" w:space="0" w:color="auto"/>
        <w:right w:val="none" w:sz="0" w:space="0" w:color="auto"/>
      </w:divBdr>
      <w:divsChild>
        <w:div w:id="1191845000">
          <w:marLeft w:val="0"/>
          <w:marRight w:val="0"/>
          <w:marTop w:val="0"/>
          <w:marBottom w:val="0"/>
          <w:divBdr>
            <w:top w:val="none" w:sz="0" w:space="0" w:color="auto"/>
            <w:left w:val="none" w:sz="0" w:space="0" w:color="auto"/>
            <w:bottom w:val="none" w:sz="0" w:space="0" w:color="auto"/>
            <w:right w:val="none" w:sz="0" w:space="0" w:color="auto"/>
          </w:divBdr>
        </w:div>
      </w:divsChild>
    </w:div>
    <w:div w:id="462895415">
      <w:bodyDiv w:val="1"/>
      <w:marLeft w:val="0"/>
      <w:marRight w:val="0"/>
      <w:marTop w:val="0"/>
      <w:marBottom w:val="0"/>
      <w:divBdr>
        <w:top w:val="none" w:sz="0" w:space="0" w:color="auto"/>
        <w:left w:val="none" w:sz="0" w:space="0" w:color="auto"/>
        <w:bottom w:val="none" w:sz="0" w:space="0" w:color="auto"/>
        <w:right w:val="none" w:sz="0" w:space="0" w:color="auto"/>
      </w:divBdr>
    </w:div>
    <w:div w:id="505899584">
      <w:bodyDiv w:val="1"/>
      <w:marLeft w:val="0"/>
      <w:marRight w:val="0"/>
      <w:marTop w:val="0"/>
      <w:marBottom w:val="0"/>
      <w:divBdr>
        <w:top w:val="none" w:sz="0" w:space="0" w:color="auto"/>
        <w:left w:val="none" w:sz="0" w:space="0" w:color="auto"/>
        <w:bottom w:val="none" w:sz="0" w:space="0" w:color="auto"/>
        <w:right w:val="none" w:sz="0" w:space="0" w:color="auto"/>
      </w:divBdr>
      <w:divsChild>
        <w:div w:id="775249096">
          <w:marLeft w:val="0"/>
          <w:marRight w:val="0"/>
          <w:marTop w:val="0"/>
          <w:marBottom w:val="0"/>
          <w:divBdr>
            <w:top w:val="none" w:sz="0" w:space="0" w:color="auto"/>
            <w:left w:val="none" w:sz="0" w:space="0" w:color="auto"/>
            <w:bottom w:val="none" w:sz="0" w:space="0" w:color="auto"/>
            <w:right w:val="none" w:sz="0" w:space="0" w:color="auto"/>
          </w:divBdr>
        </w:div>
        <w:div w:id="355542202">
          <w:marLeft w:val="0"/>
          <w:marRight w:val="0"/>
          <w:marTop w:val="0"/>
          <w:marBottom w:val="0"/>
          <w:divBdr>
            <w:top w:val="none" w:sz="0" w:space="0" w:color="auto"/>
            <w:left w:val="none" w:sz="0" w:space="0" w:color="auto"/>
            <w:bottom w:val="none" w:sz="0" w:space="0" w:color="auto"/>
            <w:right w:val="none" w:sz="0" w:space="0" w:color="auto"/>
          </w:divBdr>
        </w:div>
        <w:div w:id="6831462">
          <w:marLeft w:val="0"/>
          <w:marRight w:val="0"/>
          <w:marTop w:val="0"/>
          <w:marBottom w:val="0"/>
          <w:divBdr>
            <w:top w:val="none" w:sz="0" w:space="0" w:color="auto"/>
            <w:left w:val="none" w:sz="0" w:space="0" w:color="auto"/>
            <w:bottom w:val="none" w:sz="0" w:space="0" w:color="auto"/>
            <w:right w:val="none" w:sz="0" w:space="0" w:color="auto"/>
          </w:divBdr>
        </w:div>
      </w:divsChild>
    </w:div>
    <w:div w:id="711149049">
      <w:bodyDiv w:val="1"/>
      <w:marLeft w:val="0"/>
      <w:marRight w:val="0"/>
      <w:marTop w:val="0"/>
      <w:marBottom w:val="0"/>
      <w:divBdr>
        <w:top w:val="none" w:sz="0" w:space="0" w:color="auto"/>
        <w:left w:val="none" w:sz="0" w:space="0" w:color="auto"/>
        <w:bottom w:val="none" w:sz="0" w:space="0" w:color="auto"/>
        <w:right w:val="none" w:sz="0" w:space="0" w:color="auto"/>
      </w:divBdr>
    </w:div>
    <w:div w:id="1090006473">
      <w:bodyDiv w:val="1"/>
      <w:marLeft w:val="0"/>
      <w:marRight w:val="0"/>
      <w:marTop w:val="0"/>
      <w:marBottom w:val="0"/>
      <w:divBdr>
        <w:top w:val="none" w:sz="0" w:space="0" w:color="auto"/>
        <w:left w:val="none" w:sz="0" w:space="0" w:color="auto"/>
        <w:bottom w:val="none" w:sz="0" w:space="0" w:color="auto"/>
        <w:right w:val="none" w:sz="0" w:space="0" w:color="auto"/>
      </w:divBdr>
      <w:divsChild>
        <w:div w:id="1675568014">
          <w:marLeft w:val="0"/>
          <w:marRight w:val="0"/>
          <w:marTop w:val="0"/>
          <w:marBottom w:val="0"/>
          <w:divBdr>
            <w:top w:val="none" w:sz="0" w:space="0" w:color="auto"/>
            <w:left w:val="none" w:sz="0" w:space="0" w:color="auto"/>
            <w:bottom w:val="none" w:sz="0" w:space="0" w:color="auto"/>
            <w:right w:val="none" w:sz="0" w:space="0" w:color="auto"/>
          </w:divBdr>
          <w:divsChild>
            <w:div w:id="558172083">
              <w:marLeft w:val="0"/>
              <w:marRight w:val="0"/>
              <w:marTop w:val="0"/>
              <w:marBottom w:val="0"/>
              <w:divBdr>
                <w:top w:val="none" w:sz="0" w:space="0" w:color="auto"/>
                <w:left w:val="none" w:sz="0" w:space="0" w:color="auto"/>
                <w:bottom w:val="none" w:sz="0" w:space="0" w:color="auto"/>
                <w:right w:val="none" w:sz="0" w:space="0" w:color="auto"/>
              </w:divBdr>
              <w:divsChild>
                <w:div w:id="14796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09571">
          <w:marLeft w:val="0"/>
          <w:marRight w:val="0"/>
          <w:marTop w:val="0"/>
          <w:marBottom w:val="0"/>
          <w:divBdr>
            <w:top w:val="none" w:sz="0" w:space="0" w:color="auto"/>
            <w:left w:val="none" w:sz="0" w:space="0" w:color="auto"/>
            <w:bottom w:val="none" w:sz="0" w:space="0" w:color="auto"/>
            <w:right w:val="none" w:sz="0" w:space="0" w:color="auto"/>
          </w:divBdr>
          <w:divsChild>
            <w:div w:id="686442628">
              <w:marLeft w:val="0"/>
              <w:marRight w:val="0"/>
              <w:marTop w:val="0"/>
              <w:marBottom w:val="0"/>
              <w:divBdr>
                <w:top w:val="none" w:sz="0" w:space="0" w:color="auto"/>
                <w:left w:val="none" w:sz="0" w:space="0" w:color="auto"/>
                <w:bottom w:val="none" w:sz="0" w:space="0" w:color="auto"/>
                <w:right w:val="none" w:sz="0" w:space="0" w:color="auto"/>
              </w:divBdr>
              <w:divsChild>
                <w:div w:id="1847599384">
                  <w:marLeft w:val="0"/>
                  <w:marRight w:val="0"/>
                  <w:marTop w:val="0"/>
                  <w:marBottom w:val="0"/>
                  <w:divBdr>
                    <w:top w:val="none" w:sz="0" w:space="0" w:color="auto"/>
                    <w:left w:val="none" w:sz="0" w:space="0" w:color="auto"/>
                    <w:bottom w:val="none" w:sz="0" w:space="0" w:color="auto"/>
                    <w:right w:val="none" w:sz="0" w:space="0" w:color="auto"/>
                  </w:divBdr>
                  <w:divsChild>
                    <w:div w:id="1467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671850">
      <w:bodyDiv w:val="1"/>
      <w:marLeft w:val="0"/>
      <w:marRight w:val="0"/>
      <w:marTop w:val="0"/>
      <w:marBottom w:val="0"/>
      <w:divBdr>
        <w:top w:val="none" w:sz="0" w:space="0" w:color="auto"/>
        <w:left w:val="none" w:sz="0" w:space="0" w:color="auto"/>
        <w:bottom w:val="none" w:sz="0" w:space="0" w:color="auto"/>
        <w:right w:val="none" w:sz="0" w:space="0" w:color="auto"/>
      </w:divBdr>
    </w:div>
    <w:div w:id="1490050463">
      <w:bodyDiv w:val="1"/>
      <w:marLeft w:val="0"/>
      <w:marRight w:val="0"/>
      <w:marTop w:val="0"/>
      <w:marBottom w:val="0"/>
      <w:divBdr>
        <w:top w:val="none" w:sz="0" w:space="0" w:color="auto"/>
        <w:left w:val="none" w:sz="0" w:space="0" w:color="auto"/>
        <w:bottom w:val="none" w:sz="0" w:space="0" w:color="auto"/>
        <w:right w:val="none" w:sz="0" w:space="0" w:color="auto"/>
      </w:divBdr>
      <w:divsChild>
        <w:div w:id="1261984710">
          <w:marLeft w:val="0"/>
          <w:marRight w:val="0"/>
          <w:marTop w:val="0"/>
          <w:marBottom w:val="0"/>
          <w:divBdr>
            <w:top w:val="none" w:sz="0" w:space="0" w:color="auto"/>
            <w:left w:val="none" w:sz="0" w:space="0" w:color="auto"/>
            <w:bottom w:val="none" w:sz="0" w:space="0" w:color="auto"/>
            <w:right w:val="none" w:sz="0" w:space="0" w:color="auto"/>
          </w:divBdr>
        </w:div>
        <w:div w:id="1697005521">
          <w:marLeft w:val="0"/>
          <w:marRight w:val="0"/>
          <w:marTop w:val="0"/>
          <w:marBottom w:val="0"/>
          <w:divBdr>
            <w:top w:val="none" w:sz="0" w:space="0" w:color="auto"/>
            <w:left w:val="none" w:sz="0" w:space="0" w:color="auto"/>
            <w:bottom w:val="none" w:sz="0" w:space="0" w:color="auto"/>
            <w:right w:val="none" w:sz="0" w:space="0" w:color="auto"/>
          </w:divBdr>
        </w:div>
      </w:divsChild>
    </w:div>
    <w:div w:id="1557206906">
      <w:bodyDiv w:val="1"/>
      <w:marLeft w:val="0"/>
      <w:marRight w:val="0"/>
      <w:marTop w:val="0"/>
      <w:marBottom w:val="0"/>
      <w:divBdr>
        <w:top w:val="none" w:sz="0" w:space="0" w:color="auto"/>
        <w:left w:val="none" w:sz="0" w:space="0" w:color="auto"/>
        <w:bottom w:val="none" w:sz="0" w:space="0" w:color="auto"/>
        <w:right w:val="none" w:sz="0" w:space="0" w:color="auto"/>
      </w:divBdr>
    </w:div>
    <w:div w:id="1812362366">
      <w:bodyDiv w:val="1"/>
      <w:marLeft w:val="0"/>
      <w:marRight w:val="0"/>
      <w:marTop w:val="0"/>
      <w:marBottom w:val="0"/>
      <w:divBdr>
        <w:top w:val="none" w:sz="0" w:space="0" w:color="auto"/>
        <w:left w:val="none" w:sz="0" w:space="0" w:color="auto"/>
        <w:bottom w:val="none" w:sz="0" w:space="0" w:color="auto"/>
        <w:right w:val="none" w:sz="0" w:space="0" w:color="auto"/>
      </w:divBdr>
      <w:divsChild>
        <w:div w:id="1641032620">
          <w:marLeft w:val="0"/>
          <w:marRight w:val="0"/>
          <w:marTop w:val="0"/>
          <w:marBottom w:val="0"/>
          <w:divBdr>
            <w:top w:val="none" w:sz="0" w:space="0" w:color="auto"/>
            <w:left w:val="none" w:sz="0" w:space="0" w:color="auto"/>
            <w:bottom w:val="none" w:sz="0" w:space="0" w:color="auto"/>
            <w:right w:val="none" w:sz="0" w:space="0" w:color="auto"/>
          </w:divBdr>
        </w:div>
        <w:div w:id="2001540993">
          <w:marLeft w:val="0"/>
          <w:marRight w:val="0"/>
          <w:marTop w:val="0"/>
          <w:marBottom w:val="0"/>
          <w:divBdr>
            <w:top w:val="none" w:sz="0" w:space="0" w:color="auto"/>
            <w:left w:val="none" w:sz="0" w:space="0" w:color="auto"/>
            <w:bottom w:val="none" w:sz="0" w:space="0" w:color="auto"/>
            <w:right w:val="none" w:sz="0" w:space="0" w:color="auto"/>
          </w:divBdr>
        </w:div>
        <w:div w:id="931596214">
          <w:marLeft w:val="0"/>
          <w:marRight w:val="0"/>
          <w:marTop w:val="0"/>
          <w:marBottom w:val="0"/>
          <w:divBdr>
            <w:top w:val="none" w:sz="0" w:space="0" w:color="auto"/>
            <w:left w:val="none" w:sz="0" w:space="0" w:color="auto"/>
            <w:bottom w:val="none" w:sz="0" w:space="0" w:color="auto"/>
            <w:right w:val="none" w:sz="0" w:space="0" w:color="auto"/>
          </w:divBdr>
        </w:div>
        <w:div w:id="1827816611">
          <w:marLeft w:val="0"/>
          <w:marRight w:val="0"/>
          <w:marTop w:val="0"/>
          <w:marBottom w:val="0"/>
          <w:divBdr>
            <w:top w:val="none" w:sz="0" w:space="0" w:color="auto"/>
            <w:left w:val="none" w:sz="0" w:space="0" w:color="auto"/>
            <w:bottom w:val="none" w:sz="0" w:space="0" w:color="auto"/>
            <w:right w:val="none" w:sz="0" w:space="0" w:color="auto"/>
          </w:divBdr>
        </w:div>
        <w:div w:id="859783673">
          <w:marLeft w:val="0"/>
          <w:marRight w:val="0"/>
          <w:marTop w:val="0"/>
          <w:marBottom w:val="0"/>
          <w:divBdr>
            <w:top w:val="none" w:sz="0" w:space="0" w:color="auto"/>
            <w:left w:val="none" w:sz="0" w:space="0" w:color="auto"/>
            <w:bottom w:val="none" w:sz="0" w:space="0" w:color="auto"/>
            <w:right w:val="none" w:sz="0" w:space="0" w:color="auto"/>
          </w:divBdr>
        </w:div>
        <w:div w:id="26805715">
          <w:marLeft w:val="0"/>
          <w:marRight w:val="0"/>
          <w:marTop w:val="0"/>
          <w:marBottom w:val="0"/>
          <w:divBdr>
            <w:top w:val="none" w:sz="0" w:space="0" w:color="auto"/>
            <w:left w:val="none" w:sz="0" w:space="0" w:color="auto"/>
            <w:bottom w:val="none" w:sz="0" w:space="0" w:color="auto"/>
            <w:right w:val="none" w:sz="0" w:space="0" w:color="auto"/>
          </w:divBdr>
        </w:div>
      </w:divsChild>
    </w:div>
    <w:div w:id="1826238558">
      <w:bodyDiv w:val="1"/>
      <w:marLeft w:val="0"/>
      <w:marRight w:val="0"/>
      <w:marTop w:val="0"/>
      <w:marBottom w:val="0"/>
      <w:divBdr>
        <w:top w:val="none" w:sz="0" w:space="0" w:color="auto"/>
        <w:left w:val="none" w:sz="0" w:space="0" w:color="auto"/>
        <w:bottom w:val="none" w:sz="0" w:space="0" w:color="auto"/>
        <w:right w:val="none" w:sz="0" w:space="0" w:color="auto"/>
      </w:divBdr>
      <w:divsChild>
        <w:div w:id="796485022">
          <w:marLeft w:val="0"/>
          <w:marRight w:val="0"/>
          <w:marTop w:val="0"/>
          <w:marBottom w:val="0"/>
          <w:divBdr>
            <w:top w:val="none" w:sz="0" w:space="0" w:color="auto"/>
            <w:left w:val="none" w:sz="0" w:space="0" w:color="auto"/>
            <w:bottom w:val="none" w:sz="0" w:space="0" w:color="auto"/>
            <w:right w:val="none" w:sz="0" w:space="0" w:color="auto"/>
          </w:divBdr>
        </w:div>
        <w:div w:id="33192281">
          <w:marLeft w:val="0"/>
          <w:marRight w:val="0"/>
          <w:marTop w:val="0"/>
          <w:marBottom w:val="0"/>
          <w:divBdr>
            <w:top w:val="none" w:sz="0" w:space="0" w:color="auto"/>
            <w:left w:val="none" w:sz="0" w:space="0" w:color="auto"/>
            <w:bottom w:val="none" w:sz="0" w:space="0" w:color="auto"/>
            <w:right w:val="none" w:sz="0" w:space="0" w:color="auto"/>
          </w:divBdr>
        </w:div>
      </w:divsChild>
    </w:div>
    <w:div w:id="1916813827">
      <w:bodyDiv w:val="1"/>
      <w:marLeft w:val="0"/>
      <w:marRight w:val="0"/>
      <w:marTop w:val="0"/>
      <w:marBottom w:val="0"/>
      <w:divBdr>
        <w:top w:val="none" w:sz="0" w:space="0" w:color="auto"/>
        <w:left w:val="none" w:sz="0" w:space="0" w:color="auto"/>
        <w:bottom w:val="none" w:sz="0" w:space="0" w:color="auto"/>
        <w:right w:val="none" w:sz="0" w:space="0" w:color="auto"/>
      </w:divBdr>
    </w:div>
    <w:div w:id="1983926509">
      <w:bodyDiv w:val="1"/>
      <w:marLeft w:val="0"/>
      <w:marRight w:val="0"/>
      <w:marTop w:val="0"/>
      <w:marBottom w:val="0"/>
      <w:divBdr>
        <w:top w:val="none" w:sz="0" w:space="0" w:color="auto"/>
        <w:left w:val="none" w:sz="0" w:space="0" w:color="auto"/>
        <w:bottom w:val="none" w:sz="0" w:space="0" w:color="auto"/>
        <w:right w:val="none" w:sz="0" w:space="0" w:color="auto"/>
      </w:divBdr>
    </w:div>
    <w:div w:id="2032341725">
      <w:bodyDiv w:val="1"/>
      <w:marLeft w:val="0"/>
      <w:marRight w:val="0"/>
      <w:marTop w:val="0"/>
      <w:marBottom w:val="0"/>
      <w:divBdr>
        <w:top w:val="none" w:sz="0" w:space="0" w:color="auto"/>
        <w:left w:val="none" w:sz="0" w:space="0" w:color="auto"/>
        <w:bottom w:val="none" w:sz="0" w:space="0" w:color="auto"/>
        <w:right w:val="none" w:sz="0" w:space="0" w:color="auto"/>
      </w:divBdr>
      <w:divsChild>
        <w:div w:id="147940052">
          <w:marLeft w:val="0"/>
          <w:marRight w:val="0"/>
          <w:marTop w:val="0"/>
          <w:marBottom w:val="0"/>
          <w:divBdr>
            <w:top w:val="none" w:sz="0" w:space="0" w:color="auto"/>
            <w:left w:val="none" w:sz="0" w:space="0" w:color="auto"/>
            <w:bottom w:val="none" w:sz="0" w:space="0" w:color="auto"/>
            <w:right w:val="none" w:sz="0" w:space="0" w:color="auto"/>
          </w:divBdr>
          <w:divsChild>
            <w:div w:id="644359404">
              <w:marLeft w:val="0"/>
              <w:marRight w:val="0"/>
              <w:marTop w:val="0"/>
              <w:marBottom w:val="0"/>
              <w:divBdr>
                <w:top w:val="none" w:sz="0" w:space="0" w:color="auto"/>
                <w:left w:val="none" w:sz="0" w:space="0" w:color="auto"/>
                <w:bottom w:val="none" w:sz="0" w:space="0" w:color="auto"/>
                <w:right w:val="none" w:sz="0" w:space="0" w:color="auto"/>
              </w:divBdr>
              <w:divsChild>
                <w:div w:id="17081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609</Words>
  <Characters>3354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Fabián</cp:lastModifiedBy>
  <cp:revision>3</cp:revision>
  <dcterms:created xsi:type="dcterms:W3CDTF">2024-12-27T00:43:00Z</dcterms:created>
  <dcterms:modified xsi:type="dcterms:W3CDTF">2024-12-27T02:00:00Z</dcterms:modified>
</cp:coreProperties>
</file>