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7777777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14:paraId="08F57AA3" w14:textId="77777777"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1755 </w:t>
            </w:r>
            <w:proofErr w:type="spellStart"/>
            <w:r>
              <w:rPr>
                <w:color w:val="000000" w:themeColor="text1"/>
              </w:rPr>
              <w:t>Wyndale</w:t>
            </w:r>
            <w:proofErr w:type="spellEnd"/>
            <w:r>
              <w:rPr>
                <w:color w:val="000000" w:themeColor="text1"/>
              </w:rPr>
              <w:t xml:space="preserve"> St Unit 333</w:t>
            </w:r>
          </w:p>
          <w:p w14:paraId="4C6E805D" w14:textId="77777777"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77777777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</w:t>
      </w:r>
      <w:proofErr w:type="gramStart"/>
      <w:r>
        <w:rPr>
          <w:rFonts w:ascii="Times New Roman" w:hAnsi="Times New Roman" w:cs="Times New Roman"/>
          <w:color w:val="000000" w:themeColor="text1"/>
        </w:rPr>
        <w:t>conference</w:t>
      </w:r>
      <w:proofErr w:type="gramEnd"/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0F7BCCC4" w14:textId="77777777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iCs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 xml:space="preserve"> 07/2021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07/2021</w:t>
      </w:r>
      <w:bookmarkStart w:id="0" w:name="_GoBack"/>
      <w:bookmarkEnd w:id="0"/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lastRenderedPageBreak/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lastRenderedPageBreak/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lastRenderedPageBreak/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7582B" w14:textId="77777777" w:rsidR="00D70E67" w:rsidRDefault="00D70E67">
      <w:pPr>
        <w:spacing w:after="0" w:line="240" w:lineRule="auto"/>
      </w:pPr>
      <w:r>
        <w:separator/>
      </w:r>
    </w:p>
  </w:endnote>
  <w:endnote w:type="continuationSeparator" w:id="0">
    <w:p w14:paraId="4251817F" w14:textId="77777777" w:rsidR="00D70E67" w:rsidRDefault="00D7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27B19" w14:textId="77777777" w:rsidR="00D70E67" w:rsidRDefault="00D70E67">
      <w:pPr>
        <w:spacing w:after="0" w:line="240" w:lineRule="auto"/>
      </w:pPr>
      <w:r>
        <w:separator/>
      </w:r>
    </w:p>
  </w:footnote>
  <w:footnote w:type="continuationSeparator" w:id="0">
    <w:p w14:paraId="4A8E5479" w14:textId="77777777" w:rsidR="00D70E67" w:rsidRDefault="00D7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D70E67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44C64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5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121</cp:revision>
  <cp:lastPrinted>2021-04-13T19:35:00Z</cp:lastPrinted>
  <dcterms:created xsi:type="dcterms:W3CDTF">2017-04-27T22:57:00Z</dcterms:created>
  <dcterms:modified xsi:type="dcterms:W3CDTF">2021-07-26T16:33:00Z</dcterms:modified>
</cp:coreProperties>
</file>