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Likewise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‘DosCheck’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2DD0FE0E" w14:textId="4472BD84"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1770F700" w14:textId="15AA3C30" w:rsidR="00784BFE" w:rsidRPr="00784BFE" w:rsidRDefault="00784BFE" w:rsidP="00784BFE">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Bojechko C. </w:t>
      </w:r>
      <w:r>
        <w:rPr>
          <w:rFonts w:ascii="Times New Roman" w:hAnsi="Times New Roman" w:cs="Times New Roman"/>
          <w:i/>
          <w:iCs/>
          <w:color w:val="000000" w:themeColor="text1"/>
        </w:rPr>
        <w:t>DICOM Attribute Manipulation Tool: Easily Change Frame of Reference, Series Instance, and Study Instance UID</w:t>
      </w:r>
      <w:r>
        <w:rPr>
          <w:rFonts w:ascii="Times New Roman" w:hAnsi="Times New Roman" w:cs="Times New Roman"/>
          <w:color w:val="000000" w:themeColor="text1"/>
        </w:rPr>
        <w:t xml:space="preserve"> </w:t>
      </w:r>
      <w:r>
        <w:rPr>
          <w:rFonts w:ascii="Times New Roman" w:hAnsi="Times New Roman" w:cs="Times New Roman"/>
          <w:color w:val="000000" w:themeColor="text1"/>
        </w:rPr>
        <w:t>Practical Radiation Oncology (Submitted</w:t>
      </w:r>
      <w:r>
        <w:rPr>
          <w:rFonts w:ascii="Times New Roman" w:hAnsi="Times New Roman" w:cs="Times New Roman"/>
          <w:color w:val="000000" w:themeColor="text1"/>
        </w:rPr>
        <w:t xml:space="preserve"> 11/2024</w:t>
      </w:r>
      <w:r>
        <w:rPr>
          <w:rFonts w:ascii="Times New Roman" w:hAnsi="Times New Roman" w:cs="Times New Roman"/>
          <w:color w:val="000000" w:themeColor="text1"/>
        </w:rPr>
        <w:t>)</w:t>
      </w:r>
    </w:p>
    <w:p w14:paraId="38AC5F0F" w14:textId="68476EC2" w:rsidR="00A90C2F" w:rsidRDefault="00A90C2F"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62156419" w14:textId="413C12DC" w:rsidR="00841882" w:rsidRPr="00841882" w:rsidRDefault="0084188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Kwong E., Liu C C., Adapa K, Vizer L,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McHugh D., Pawlicki T., Miften M., Sawant A., Charguia N., Das S., Marks L. B., Wright J. L., Mazur L. </w:t>
      </w:r>
      <w:r>
        <w:rPr>
          <w:rFonts w:ascii="Times New Roman" w:hAnsi="Times New Roman" w:cs="Times New Roman"/>
          <w:i/>
          <w:iCs/>
          <w:color w:val="000000" w:themeColor="text1"/>
        </w:rPr>
        <w:t xml:space="preserve">Towards Better Understnding of Factors Contributing to Medical Physicists Well-being: A Systems-Analysis Approach </w:t>
      </w:r>
      <w:r>
        <w:rPr>
          <w:rFonts w:ascii="Times New Roman" w:hAnsi="Times New Roman" w:cs="Times New Roman"/>
          <w:color w:val="000000" w:themeColor="text1"/>
        </w:rPr>
        <w:t>Practical Radiation Oncology (Submitted 10/2024)</w:t>
      </w:r>
    </w:p>
    <w:p w14:paraId="15F79EB6" w14:textId="37556521"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lastRenderedPageBreak/>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910E2" w14:textId="77777777" w:rsidR="001260AA" w:rsidRDefault="001260AA">
      <w:pPr>
        <w:spacing w:after="0" w:line="240" w:lineRule="auto"/>
      </w:pPr>
      <w:r>
        <w:separator/>
      </w:r>
    </w:p>
  </w:endnote>
  <w:endnote w:type="continuationSeparator" w:id="0">
    <w:p w14:paraId="3DFF7AAF" w14:textId="77777777" w:rsidR="001260AA" w:rsidRDefault="00126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59C88" w14:textId="77777777" w:rsidR="001260AA" w:rsidRDefault="001260AA">
      <w:pPr>
        <w:spacing w:after="0" w:line="240" w:lineRule="auto"/>
      </w:pPr>
      <w:r>
        <w:separator/>
      </w:r>
    </w:p>
  </w:footnote>
  <w:footnote w:type="continuationSeparator" w:id="0">
    <w:p w14:paraId="26F3309C" w14:textId="77777777" w:rsidR="001260AA" w:rsidRDefault="00126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260AA"/>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84BFE"/>
    <w:rsid w:val="00792135"/>
    <w:rsid w:val="00795832"/>
    <w:rsid w:val="007A0FBB"/>
    <w:rsid w:val="007B4DE5"/>
    <w:rsid w:val="007B586F"/>
    <w:rsid w:val="007C0CFA"/>
    <w:rsid w:val="007D0E26"/>
    <w:rsid w:val="007D32C5"/>
    <w:rsid w:val="007D34C8"/>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76B5"/>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16651</TotalTime>
  <Pages>8</Pages>
  <Words>4086</Words>
  <Characters>23293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390</cp:revision>
  <cp:lastPrinted>2024-06-09T22:09:00Z</cp:lastPrinted>
  <dcterms:created xsi:type="dcterms:W3CDTF">2017-04-27T22:57:00Z</dcterms:created>
  <dcterms:modified xsi:type="dcterms:W3CDTF">2024-11-22T17:16:00Z</dcterms:modified>
</cp:coreProperties>
</file>