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4C120BC4" w:rsidR="003D0BBB" w:rsidRPr="003D0BBB" w:rsidRDefault="003D0BBB" w:rsidP="003D0BBB">
      <w:r>
        <w:t>Some title</w:t>
      </w:r>
    </w:p>
    <w:p w14:paraId="2C997B25" w14:textId="26CB23C8" w:rsidR="00AA1C3D" w:rsidRDefault="00421163" w:rsidP="00421163">
      <w:pPr>
        <w:pStyle w:val="Heading1"/>
      </w:pPr>
      <w:r>
        <w:t>Abstract</w:t>
      </w:r>
    </w:p>
    <w:p w14:paraId="248C28B7" w14:textId="473231B4" w:rsidR="00421163" w:rsidRDefault="00421163" w:rsidP="00421163">
      <w:r>
        <w:t>Consistency of nomenclature within radiation oncology is becoming increasingly important as data sharing becomes more prevalent and accessible.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r w:rsidR="00F249CB">
        <w:t>W</w:t>
      </w:r>
      <w:r w:rsidR="00BE3908">
        <w:t>indows system</w:t>
      </w:r>
      <w:r w:rsidR="00F249CB">
        <w:t>,</w:t>
      </w:r>
      <w:r w:rsidR="00BE3908">
        <w:t xml:space="preserve">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7E5BBDC8" w:rsidR="00691A2F" w:rsidRDefault="00C53E81" w:rsidP="00421163">
      <w:r>
        <w:t xml:space="preserve">In the creation of a treatment plan within radiation oncology, regions of interest (ROIs) must be defined. These ROIs can be the target of radiation therapy, </w:t>
      </w:r>
      <w:r w:rsidR="007F3FF8">
        <w:t>organs at risk (OARs), or contrast agents, etc. While the Digital Imaging and Communications in Medicine (DICOM) provides a standard for communicating these generated structures (RT-Structures) in treatment planning systems, the creation of the RT-Structures is often left to the treatment planning system.</w:t>
      </w:r>
    </w:p>
    <w:p w14:paraId="13A5148B" w14:textId="6A46545A"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 xml:space="preserve">be of interest. Depending on the treatment planning system, the user will then be required to manually create each ROI, individually labeling the structures involved (‘Brain’, ‘Brainstem’, etc.). This can be not only tedious, but also error prone (‘Brian’ instead of ‘Brain’). </w:t>
      </w:r>
      <w:r w:rsidR="000958C1">
        <w:t xml:space="preserve">Furthermore, the naming of an ROI can vary from person to person (‘Lung_R’ vs ‘Right Lung’). </w:t>
      </w:r>
      <w:r w:rsidR="009100C1">
        <w:t>While several treatment planning systems provide a method of creating templates to automatically create the desired ROIs based on the treatment site[</w:t>
      </w:r>
      <w:commentRangeStart w:id="0"/>
      <w:r w:rsidR="009100C1">
        <w:t xml:space="preserve">ref </w:t>
      </w:r>
      <w:commentRangeEnd w:id="0"/>
      <w:r w:rsidR="00AD5C11">
        <w:rPr>
          <w:rStyle w:val="CommentReference"/>
        </w:rPr>
        <w:commentReference w:id="0"/>
      </w:r>
      <w:r w:rsidR="009100C1">
        <w:t>for varian, others?], these templates must be created manually.</w:t>
      </w:r>
    </w:p>
    <w:p w14:paraId="39A0624B" w14:textId="7B36975D" w:rsidR="000958C1" w:rsidRDefault="00C41ADA" w:rsidP="00421163">
      <w:r>
        <w:t xml:space="preserve">The American Association of Physics in Medicine (AAPM) has created Report 263 titled ‘Standardizing Nomenclatures in Radiation Oncology’, whose purpose is to provide guidance on naming of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For respondents who had not yet adopted the new 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 With this work, we hope to provide a simple, server based system that will automatically create the desired RT-Structure files</w:t>
      </w:r>
      <w:r w:rsidR="00320E66">
        <w:t>, and provide several ‘standard’ templates for commonly treated sites.</w:t>
      </w:r>
    </w:p>
    <w:p w14:paraId="08F6E50E" w14:textId="62C13E07" w:rsidR="00BE2C15" w:rsidRDefault="00BE2C15" w:rsidP="00BE2C15">
      <w:pPr>
        <w:pStyle w:val="Heading1"/>
      </w:pPr>
      <w:r>
        <w:lastRenderedPageBreak/>
        <w:t>Methods</w:t>
      </w:r>
    </w:p>
    <w:p w14:paraId="2A758BB4" w14:textId="64D0FBF0" w:rsidR="00BE2C15" w:rsidRDefault="00272639" w:rsidP="00BE2C15">
      <w:r>
        <w:t xml:space="preserve">The program was written using the </w:t>
      </w:r>
      <w:r w:rsidR="00306C64">
        <w:t>C</w:t>
      </w:r>
      <w:r>
        <w:t># coding language [ref]. Manipulation of DICOM files was facilitated via the publicly available FellowOakDicom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wrapper for the ITK coding package, 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r>
        <w:t>.</w:t>
      </w:r>
    </w:p>
    <w:p w14:paraId="08E057F9" w14:textId="0FAE28B6" w:rsidR="00667BB9" w:rsidRDefault="00667BB9" w:rsidP="00667BB9">
      <w:pPr>
        <w:pStyle w:val="Heading2"/>
      </w:pPr>
      <w:r>
        <w:t>Creation of Template</w:t>
      </w:r>
    </w:p>
    <w:p w14:paraId="6EEE0BFD" w14:textId="6FC8CDF6" w:rsidR="00E3543B" w:rsidRDefault="00667BB9" w:rsidP="00667BB9">
      <w:r>
        <w:t xml:space="preserve">The basic layout of the program is to create an RT-Structure file based on the ROIs present within a template. Templates can be user defined, or built </w:t>
      </w:r>
      <w:r w:rsidR="00A22AFA">
        <w:t>from</w:t>
      </w:r>
      <w:r>
        <w:t xml:space="preserve"> the default </w:t>
      </w:r>
      <w:r w:rsidR="00E3543B">
        <w:t xml:space="preserve">structures provided in the program. These default structures are based on ROIs defined at </w:t>
      </w:r>
      <w:r>
        <w:t>[anonymized for submission purposes].</w:t>
      </w:r>
    </w:p>
    <w:p w14:paraId="4F8A5DFE" w14:textId="324C138B" w:rsidR="003D7D5D" w:rsidRDefault="003D7D5D" w:rsidP="00667BB9">
      <w:r>
        <w:t xml:space="preserve">The </w:t>
      </w:r>
      <w:r w:rsidR="00E3543B">
        <w:t>template</w:t>
      </w:r>
      <w:r>
        <w:t xml:space="preserve"> is saved and read as a folder containing a ‘Paths.txt’ file, which indicates where the program should watch for DICOM files, and an ‘ROIs’ folder. </w:t>
      </w:r>
    </w:p>
    <w:p w14:paraId="06A9C774" w14:textId="3A976FD9" w:rsidR="003D7D5D" w:rsidRDefault="003D7D5D" w:rsidP="003D7D5D">
      <w:pPr>
        <w:pStyle w:val="Heading3"/>
      </w:pPr>
      <w:r>
        <w:t>Creation of ROIs</w:t>
      </w:r>
    </w:p>
    <w:p w14:paraId="47E7E8F2" w14:textId="5EDB5A80"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which will be further discussed below. The third line is the ROI interpreted type, as listed in the DICOM </w:t>
      </w:r>
      <w:r w:rsidR="00F539A5">
        <w:t>Standard Brower</w:t>
      </w:r>
      <w:r w:rsidR="00C4125D">
        <w:t xml:space="preserve">: </w:t>
      </w:r>
      <w:hyperlink r:id="rId9"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948940"/>
                    </a:xfrm>
                    <a:prstGeom prst="rect">
                      <a:avLst/>
                    </a:prstGeom>
                  </pic:spPr>
                </pic:pic>
              </a:graphicData>
            </a:graphic>
          </wp:inline>
        </w:drawing>
      </w:r>
    </w:p>
    <w:p w14:paraId="4D43533B" w14:textId="7F1F1D40" w:rsidR="000127D7" w:rsidRDefault="000127D7" w:rsidP="000127D7">
      <w:pPr>
        <w:pStyle w:val="Caption"/>
      </w:pPr>
      <w:bookmarkStart w:id="1" w:name="_Ref109393250"/>
      <w:r>
        <w:t xml:space="preserve">Figure </w:t>
      </w:r>
      <w:r>
        <w:fldChar w:fldCharType="begin"/>
      </w:r>
      <w:r>
        <w:instrText xml:space="preserve"> SEQ Figure \* ARABIC </w:instrText>
      </w:r>
      <w:r>
        <w:fldChar w:fldCharType="separate"/>
      </w:r>
      <w:r w:rsidR="00393210">
        <w:rPr>
          <w:noProof/>
        </w:rPr>
        <w:t>1</w:t>
      </w:r>
      <w:r>
        <w:fldChar w:fldCharType="end"/>
      </w:r>
      <w:bookmarkEnd w:id="1"/>
      <w:r>
        <w:t>: Ability to change the interpreted type of a region of interest after creation. Likewise, the color, name, and ontology can be changed</w:t>
      </w:r>
    </w:p>
    <w:p w14:paraId="67B21390" w14:textId="2234302C" w:rsidR="00174E8E" w:rsidRP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6F22E5A0" w14:textId="3128D9AC" w:rsidR="00CF4E70" w:rsidRDefault="00CF4E70" w:rsidP="00CF4E70">
      <w:pPr>
        <w:pStyle w:val="Heading3"/>
      </w:pPr>
      <w:r>
        <w:lastRenderedPageBreak/>
        <w:t xml:space="preserve">Creation of </w:t>
      </w:r>
      <w:r>
        <w:t>Ontologies</w:t>
      </w:r>
    </w:p>
    <w:p w14:paraId="2D04E1B0" w14:textId="43E6F57E"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Detailed descriptions of each of these can be found in the DICOM Standard Brower, </w:t>
      </w:r>
      <w:hyperlink r:id="rId11" w:history="1">
        <w:r w:rsidR="00F539A5" w:rsidRPr="00F84C9F">
          <w:rPr>
            <w:rStyle w:val="Hyperlink"/>
          </w:rPr>
          <w:t>https://dicom.innolitics.com/ciods/rt-structure-set/rt-roi-observations/30060080/30060086</w:t>
        </w:r>
      </w:hyperlink>
      <w:r w:rsidR="00F539A5">
        <w:t>.</w:t>
      </w:r>
    </w:p>
    <w:p w14:paraId="21C3CCE8" w14:textId="50C2E505"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12" w:history="1">
        <w:r w:rsidR="00393210" w:rsidRPr="00F84C9F">
          <w:rPr>
            <w:rStyle w:val="Hyperlink"/>
          </w:rPr>
          <w:t>http://purl.org/sig/ont/fma/fma50801</w:t>
        </w:r>
      </w:hyperlink>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A list of available code schemes can be found online: </w:t>
      </w:r>
      <w:hyperlink r:id="rId13" w:history="1">
        <w:r w:rsidR="00393210" w:rsidRPr="00F84C9F">
          <w:rPr>
            <w:rStyle w:val="Hyperlink"/>
          </w:rPr>
          <w:t>https://dicom.nema.org/medical/dicom/current/output/chtml/part16/chapter_8.html</w:t>
        </w:r>
      </w:hyperlink>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4"/>
                    <a:stretch>
                      <a:fillRect/>
                    </a:stretch>
                  </pic:blipFill>
                  <pic:spPr>
                    <a:xfrm>
                      <a:off x="0" y="0"/>
                      <a:ext cx="5943600" cy="3419475"/>
                    </a:xfrm>
                    <a:prstGeom prst="rect">
                      <a:avLst/>
                    </a:prstGeom>
                  </pic:spPr>
                </pic:pic>
              </a:graphicData>
            </a:graphic>
          </wp:inline>
        </w:drawing>
      </w:r>
    </w:p>
    <w:p w14:paraId="59250FCB" w14:textId="1E09D32C" w:rsidR="00393210" w:rsidRDefault="00393210" w:rsidP="00393210">
      <w:pPr>
        <w:pStyle w:val="Caption"/>
      </w:pPr>
      <w:bookmarkStart w:id="2" w:name="_Ref109394787"/>
      <w:r>
        <w:t xml:space="preserve">Figure </w:t>
      </w:r>
      <w:r>
        <w:fldChar w:fldCharType="begin"/>
      </w:r>
      <w:r>
        <w:instrText xml:space="preserve"> SEQ Figure \* ARABIC </w:instrText>
      </w:r>
      <w:r>
        <w:fldChar w:fldCharType="separate"/>
      </w:r>
      <w:r>
        <w:rPr>
          <w:noProof/>
        </w:rPr>
        <w:t>2</w:t>
      </w:r>
      <w:r>
        <w:fldChar w:fldCharType="end"/>
      </w:r>
      <w:bookmarkEnd w:id="2"/>
      <w:r>
        <w:t>: Demonstration of ontology ‘Brain’. Based on the FMA model, the ‘Brain’ has a code value of 50801.</w:t>
      </w:r>
    </w:p>
    <w:p w14:paraId="29FFC9CE" w14:textId="0084BBA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126A622C" w14:textId="1644F952" w:rsidR="00AF3D64" w:rsidRPr="00AF3D64" w:rsidRDefault="00AF3D64" w:rsidP="00AF3D64">
      <w:r>
        <w:t>T</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678A"/>
    <w:rsid w:val="00056885"/>
    <w:rsid w:val="000958C1"/>
    <w:rsid w:val="00174E8E"/>
    <w:rsid w:val="001E2EFE"/>
    <w:rsid w:val="001F4ECB"/>
    <w:rsid w:val="00272639"/>
    <w:rsid w:val="002A3D89"/>
    <w:rsid w:val="002A4E42"/>
    <w:rsid w:val="002B611C"/>
    <w:rsid w:val="00306C64"/>
    <w:rsid w:val="00320E66"/>
    <w:rsid w:val="00347F29"/>
    <w:rsid w:val="00393210"/>
    <w:rsid w:val="003D0BBB"/>
    <w:rsid w:val="003D7D5D"/>
    <w:rsid w:val="00421163"/>
    <w:rsid w:val="004F72DB"/>
    <w:rsid w:val="00541877"/>
    <w:rsid w:val="00556C7B"/>
    <w:rsid w:val="00560F1F"/>
    <w:rsid w:val="00591E50"/>
    <w:rsid w:val="006446A1"/>
    <w:rsid w:val="00667BB9"/>
    <w:rsid w:val="00691A2F"/>
    <w:rsid w:val="006C772B"/>
    <w:rsid w:val="00763468"/>
    <w:rsid w:val="007F3FF8"/>
    <w:rsid w:val="008B752E"/>
    <w:rsid w:val="008E0581"/>
    <w:rsid w:val="009100C1"/>
    <w:rsid w:val="00982F5A"/>
    <w:rsid w:val="00996118"/>
    <w:rsid w:val="00A22AFA"/>
    <w:rsid w:val="00A3783D"/>
    <w:rsid w:val="00AA1C3D"/>
    <w:rsid w:val="00AD5C11"/>
    <w:rsid w:val="00AF3D64"/>
    <w:rsid w:val="00B223E6"/>
    <w:rsid w:val="00BE2C15"/>
    <w:rsid w:val="00BE3908"/>
    <w:rsid w:val="00C4125D"/>
    <w:rsid w:val="00C41ADA"/>
    <w:rsid w:val="00C53E81"/>
    <w:rsid w:val="00C61471"/>
    <w:rsid w:val="00CF4E70"/>
    <w:rsid w:val="00D65047"/>
    <w:rsid w:val="00D824EA"/>
    <w:rsid w:val="00DD09CD"/>
    <w:rsid w:val="00E07932"/>
    <w:rsid w:val="00E3543B"/>
    <w:rsid w:val="00EA4773"/>
    <w:rsid w:val="00F249CB"/>
    <w:rsid w:val="00F5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icom.nema.org/medical/dicom/current/output/chtml/part16/chapter_8.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purl.org/sig/ont/fma/fma50801"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icom.innolitics.com/ciods/rt-structure-set/rt-roi-observations/30060080/300600a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4</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41</cp:revision>
  <dcterms:created xsi:type="dcterms:W3CDTF">2022-07-21T21:24:00Z</dcterms:created>
  <dcterms:modified xsi:type="dcterms:W3CDTF">2022-07-22T22:06:00Z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