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312F" w14:textId="77777777" w:rsidR="0074453F" w:rsidRDefault="0074453F" w:rsidP="0074453F">
      <w:pPr>
        <w:pStyle w:val="Heading1"/>
      </w:pPr>
      <w:r>
        <w:t>Open RT Structures: A Scalable Solution for TG-263 Accessibility</w:t>
      </w:r>
    </w:p>
    <w:p w14:paraId="4F35B3F0" w14:textId="77777777" w:rsidR="0074453F" w:rsidRDefault="0074453F" w:rsidP="0074453F">
      <w:pPr>
        <w:keepNext/>
        <w:keepLines/>
        <w:jc w:val="center"/>
      </w:pPr>
      <w:r w:rsidRPr="003D5F04">
        <w:rPr>
          <w:b/>
          <w:bCs/>
        </w:rPr>
        <w:t xml:space="preserve">Brian M. Anderson </w:t>
      </w:r>
      <w:r>
        <w:rPr>
          <w:b/>
          <w:bCs/>
        </w:rPr>
        <w:t>PhD</w:t>
      </w:r>
      <w:r w:rsidRPr="003D5F04">
        <w:rPr>
          <w:b/>
          <w:bCs/>
          <w:vertAlign w:val="superscript"/>
        </w:rPr>
        <w:t>1</w:t>
      </w:r>
      <w:r>
        <w:rPr>
          <w:b/>
          <w:bCs/>
        </w:rPr>
        <w:t>, Laura Padilla PhD</w:t>
      </w:r>
      <w:r w:rsidRPr="0017096E">
        <w:rPr>
          <w:b/>
          <w:bCs/>
          <w:vertAlign w:val="superscript"/>
        </w:rPr>
        <w:t>1</w:t>
      </w:r>
      <w:r>
        <w:rPr>
          <w:b/>
          <w:bCs/>
        </w:rPr>
        <w:t>, Jeffrey M. Ryckman MD</w:t>
      </w:r>
      <w:r>
        <w:rPr>
          <w:b/>
          <w:bCs/>
          <w:vertAlign w:val="superscript"/>
        </w:rPr>
        <w:t>2</w:t>
      </w:r>
      <w:r>
        <w:rPr>
          <w:b/>
          <w:bCs/>
        </w:rPr>
        <w:t>, Elizabeth Covington PhD</w:t>
      </w:r>
      <w:r>
        <w:rPr>
          <w:b/>
          <w:bCs/>
          <w:vertAlign w:val="superscript"/>
        </w:rPr>
        <w:t>3</w:t>
      </w:r>
      <w:r>
        <w:rPr>
          <w:b/>
          <w:bCs/>
        </w:rPr>
        <w:t>, David S. Hong MD</w:t>
      </w:r>
      <w:r>
        <w:rPr>
          <w:b/>
          <w:bCs/>
          <w:vertAlign w:val="superscript"/>
        </w:rPr>
        <w:t>4</w:t>
      </w:r>
      <w:r>
        <w:rPr>
          <w:b/>
          <w:bCs/>
        </w:rPr>
        <w:t>, Kaley Woods PhD</w:t>
      </w:r>
      <w:r>
        <w:rPr>
          <w:b/>
          <w:bCs/>
          <w:vertAlign w:val="superscript"/>
        </w:rPr>
        <w:t>4</w:t>
      </w:r>
      <w:r>
        <w:rPr>
          <w:b/>
          <w:bCs/>
        </w:rPr>
        <w:t>, Kevin L. Moore PhD</w:t>
      </w:r>
      <w:r w:rsidRPr="003D5F04">
        <w:rPr>
          <w:b/>
          <w:bCs/>
          <w:vertAlign w:val="superscript"/>
        </w:rPr>
        <w:t>1</w:t>
      </w:r>
      <w:r>
        <w:rPr>
          <w:b/>
          <w:bCs/>
        </w:rPr>
        <w:t>, Casey Bojechko PhD</w:t>
      </w:r>
      <w:r w:rsidRPr="003D5F04">
        <w:rPr>
          <w:b/>
          <w:bCs/>
          <w:vertAlign w:val="superscript"/>
        </w:rPr>
        <w:t>1</w:t>
      </w:r>
    </w:p>
    <w:p w14:paraId="5A44CC30" w14:textId="77777777" w:rsidR="0074453F" w:rsidRDefault="0074453F" w:rsidP="00FE5390">
      <w:pPr>
        <w:spacing w:after="0" w:line="240" w:lineRule="auto"/>
        <w:jc w:val="center"/>
      </w:pPr>
      <w:r w:rsidRPr="00B061D8">
        <w:rPr>
          <w:vertAlign w:val="superscript"/>
        </w:rPr>
        <w:t>1</w:t>
      </w:r>
      <w:r w:rsidRPr="00B061D8">
        <w:t>Department of Radiation Medicine and Applied Sciences, University of California San Diego</w:t>
      </w:r>
    </w:p>
    <w:p w14:paraId="1C5A2AA7" w14:textId="77777777" w:rsidR="0074453F" w:rsidRDefault="0074453F" w:rsidP="00FE5390">
      <w:pPr>
        <w:spacing w:after="0" w:line="240" w:lineRule="auto"/>
        <w:jc w:val="center"/>
      </w:pPr>
      <w:r w:rsidRPr="009F73E6">
        <w:rPr>
          <w:vertAlign w:val="superscript"/>
        </w:rPr>
        <w:t>2</w:t>
      </w:r>
      <w:r w:rsidRPr="009F73E6">
        <w:t>Department of Radiation Oncology, West Virginia University Medicine Camden Clark Medical Center</w:t>
      </w:r>
    </w:p>
    <w:p w14:paraId="4A22FAA5" w14:textId="77777777" w:rsidR="0074453F" w:rsidRDefault="0074453F" w:rsidP="00FE5390">
      <w:pPr>
        <w:spacing w:after="0" w:line="240" w:lineRule="auto"/>
        <w:jc w:val="center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  <w:vertAlign w:val="superscript"/>
        </w:rPr>
        <w:t>3</w:t>
      </w:r>
      <w:r w:rsidRPr="00B061D8">
        <w:rPr>
          <w:color w:val="212121"/>
          <w:shd w:val="clear" w:color="auto" w:fill="FFFFFF"/>
        </w:rPr>
        <w:t>University of Michigan, Ann Arbor, Michigan</w:t>
      </w:r>
    </w:p>
    <w:p w14:paraId="4C74A168" w14:textId="3AF66BB3" w:rsidR="00752572" w:rsidRPr="0074453F" w:rsidRDefault="0074453F" w:rsidP="00FE5390">
      <w:pPr>
        <w:jc w:val="center"/>
      </w:pPr>
      <w:r w:rsidRPr="00B061D8">
        <w:rPr>
          <w:color w:val="212121"/>
          <w:shd w:val="clear" w:color="auto" w:fill="FFFFFF"/>
          <w:vertAlign w:val="superscript"/>
        </w:rPr>
        <w:t>4</w:t>
      </w:r>
      <w:r>
        <w:rPr>
          <w:color w:val="212121"/>
          <w:shd w:val="clear" w:color="auto" w:fill="FFFFFF"/>
        </w:rPr>
        <w:t>University of Southern California, Los Angeles, California</w:t>
      </w:r>
    </w:p>
    <w:sectPr w:rsidR="00752572" w:rsidRPr="0074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3F"/>
    <w:rsid w:val="0074453F"/>
    <w:rsid w:val="00752572"/>
    <w:rsid w:val="00757AD6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19EE"/>
  <w15:chartTrackingRefBased/>
  <w15:docId w15:val="{0B58DA22-177E-43F3-B10E-D79C650A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3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2</cp:revision>
  <dcterms:created xsi:type="dcterms:W3CDTF">2023-02-24T22:17:00Z</dcterms:created>
  <dcterms:modified xsi:type="dcterms:W3CDTF">2023-02-24T22:48:00Z</dcterms:modified>
</cp:coreProperties>
</file>