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1-08-26T00:00:00Z">
              <w:dateFormat w:val="M/d/yyyy"/>
              <w:lid w:val="en-US"/>
              <w:storeMappedDataAs w:val="dateTime"/>
              <w:calendar w:val="gregorian"/>
            </w:date>
          </w:sdtPr>
          <w:sdtContent>
            <w:tc>
              <w:tcPr>
                <w:tcW w:w="7920" w:type="dxa"/>
                <w:tcBorders>
                  <w:bottom w:val="single" w:sz="4" w:space="0" w:color="auto"/>
                </w:tcBorders>
              </w:tcPr>
              <w:p w14:paraId="72891EAB" w14:textId="4B517BFE" w:rsidR="00B92965" w:rsidRDefault="00996447" w:rsidP="00B92965">
                <w:r>
                  <w:t>8/26/2021</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C6EA7C9" w:rsidR="00B92965" w:rsidRDefault="00996447" w:rsidP="00B92965">
                <w:r>
                  <w:t>Elizabeth L. Covington</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D0FB496" w:rsidR="00B92965" w:rsidRDefault="002B39CB" w:rsidP="00B92965">
                <w:r>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6FCC9A6" w:rsidR="00F52A77" w:rsidRDefault="00996447"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426D60B4" w:rsidR="00F52A77" w:rsidRDefault="00996447"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69F5EC39" w:rsidR="00F52A77" w:rsidRDefault="00996447"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787839D5" w:rsidR="00F52A77" w:rsidRDefault="00996447"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041E0DE6" w:rsidR="00F52A77" w:rsidRDefault="00996447"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18C9C3D5" w:rsidR="00F52A77" w:rsidRDefault="00996447"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0423AE1F" w:rsidR="00F52A77" w:rsidRDefault="00996447"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6ACF338C" w:rsidR="00F52A77" w:rsidRDefault="00996447"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60048C85" w:rsidR="00F52A77" w:rsidRDefault="00996447" w:rsidP="00F52A77">
                  <w:permStart w:id="530011188" w:edGrp="everyone"/>
                  <w:r>
                    <w:t>American Association of Physicist in Medicine – Chair of Task Group TG-263U1</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41B52C92" w:rsidR="00F52A77" w:rsidRDefault="00996447"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49CD96CD" w:rsidR="00F52A77" w:rsidRDefault="00996447"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14714DDE" w:rsidR="00F52A77" w:rsidRDefault="00996447"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699454E" w:rsidR="00F52A77" w:rsidRDefault="00996447"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40FD" w14:textId="77777777" w:rsidR="00067146" w:rsidRDefault="00067146" w:rsidP="00E23042">
      <w:r>
        <w:separator/>
      </w:r>
    </w:p>
  </w:endnote>
  <w:endnote w:type="continuationSeparator" w:id="0">
    <w:p w14:paraId="64E05F9F" w14:textId="77777777" w:rsidR="00067146" w:rsidRDefault="0006714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EDB4" w14:textId="77777777" w:rsidR="00067146" w:rsidRDefault="00067146" w:rsidP="00E23042">
      <w:r>
        <w:separator/>
      </w:r>
    </w:p>
  </w:footnote>
  <w:footnote w:type="continuationSeparator" w:id="0">
    <w:p w14:paraId="743F23FF" w14:textId="77777777" w:rsidR="00067146" w:rsidRDefault="00067146"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67146"/>
    <w:rsid w:val="00080E3A"/>
    <w:rsid w:val="000A7AAC"/>
    <w:rsid w:val="000D01CB"/>
    <w:rsid w:val="001A4D68"/>
    <w:rsid w:val="001F07C3"/>
    <w:rsid w:val="001F15E2"/>
    <w:rsid w:val="002268E3"/>
    <w:rsid w:val="00275A41"/>
    <w:rsid w:val="0029222F"/>
    <w:rsid w:val="002B39CB"/>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96447"/>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C12607"/>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3</cp:revision>
  <dcterms:created xsi:type="dcterms:W3CDTF">2023-02-24T22:33:00Z</dcterms:created>
  <dcterms:modified xsi:type="dcterms:W3CDTF">2023-02-24T23:42:00Z</dcterms:modified>
</cp:coreProperties>
</file>