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9F3" w:rsidRDefault="005479F3" w:rsidP="005479F3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>: Comparison of CRL-met segmentation results from our model and the literature. Green box indicates more disease sites (n) or better Dice Similarity Coefficient (DSC), yellow indicates a tie.</w:t>
      </w:r>
    </w:p>
    <w:tbl>
      <w:tblPr>
        <w:tblW w:w="93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8"/>
        <w:gridCol w:w="3143"/>
        <w:gridCol w:w="1440"/>
        <w:gridCol w:w="1248"/>
        <w:gridCol w:w="1126"/>
      </w:tblGrid>
      <w:tr w:rsidR="005479F3" w:rsidRPr="0083644B" w:rsidTr="00B90241">
        <w:trPr>
          <w:trHeight w:val="300"/>
          <w:jc w:val="center"/>
        </w:trPr>
        <w:tc>
          <w:tcPr>
            <w:tcW w:w="2428" w:type="dxa"/>
            <w:shd w:val="clear" w:color="auto" w:fill="auto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644B">
              <w:rPr>
                <w:rFonts w:ascii="Calibri" w:eastAsia="Times New Roman" w:hAnsi="Calibri" w:cs="Calibri"/>
                <w:color w:val="000000"/>
              </w:rPr>
              <w:t>Method</w:t>
            </w:r>
          </w:p>
        </w:tc>
        <w:tc>
          <w:tcPr>
            <w:tcW w:w="3143" w:type="dxa"/>
            <w:shd w:val="clear" w:color="auto" w:fill="auto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644B">
              <w:rPr>
                <w:rFonts w:ascii="Calibri" w:eastAsia="Times New Roman" w:hAnsi="Calibri" w:cs="Calibri"/>
                <w:color w:val="000000"/>
              </w:rPr>
              <w:t>Criteria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644B">
              <w:rPr>
                <w:rFonts w:ascii="Calibri" w:eastAsia="Times New Roman" w:hAnsi="Calibri" w:cs="Calibri"/>
                <w:color w:val="000000"/>
              </w:rPr>
              <w:t># Sites</w:t>
            </w:r>
          </w:p>
        </w:tc>
        <w:tc>
          <w:tcPr>
            <w:tcW w:w="1248" w:type="dxa"/>
            <w:shd w:val="clear" w:color="auto" w:fill="auto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644B">
              <w:rPr>
                <w:rFonts w:ascii="Calibri" w:eastAsia="Times New Roman" w:hAnsi="Calibri" w:cs="Calibri"/>
                <w:color w:val="000000"/>
              </w:rPr>
              <w:t>Mean DSC</w:t>
            </w:r>
          </w:p>
        </w:tc>
        <w:tc>
          <w:tcPr>
            <w:tcW w:w="1126" w:type="dxa"/>
            <w:vAlign w:val="center"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Sensitivity</w:t>
            </w:r>
          </w:p>
        </w:tc>
      </w:tr>
      <w:tr w:rsidR="005479F3" w:rsidRPr="0083644B" w:rsidTr="00B90241">
        <w:trPr>
          <w:trHeight w:val="300"/>
          <w:jc w:val="center"/>
        </w:trPr>
        <w:tc>
          <w:tcPr>
            <w:tcW w:w="2428" w:type="dxa"/>
            <w:vMerge w:val="restart"/>
            <w:shd w:val="clear" w:color="auto" w:fill="auto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Presented Method</w:t>
            </w:r>
          </w:p>
        </w:tc>
        <w:tc>
          <w:tcPr>
            <w:tcW w:w="3143" w:type="dxa"/>
            <w:shd w:val="clear" w:color="auto" w:fill="auto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644B">
              <w:rPr>
                <w:rFonts w:ascii="Calibri" w:eastAsia="Times New Roman" w:hAnsi="Calibri" w:cs="Calibri"/>
                <w:color w:val="000000"/>
              </w:rPr>
              <w:t>less than 1</w:t>
            </w:r>
            <w:r>
              <w:rPr>
                <w:rFonts w:ascii="Calibri" w:eastAsia="Times New Roman" w:hAnsi="Calibri" w:cs="Calibri"/>
                <w:color w:val="000000"/>
              </w:rPr>
              <w:t>0 mm</w:t>
            </w:r>
          </w:p>
        </w:tc>
        <w:tc>
          <w:tcPr>
            <w:tcW w:w="1440" w:type="dxa"/>
            <w:shd w:val="clear" w:color="auto" w:fill="00B050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644B">
              <w:rPr>
                <w:rFonts w:ascii="Calibri" w:eastAsia="Times New Roman" w:hAnsi="Calibri" w:cs="Calibri"/>
                <w:color w:val="000000"/>
              </w:rPr>
              <w:t xml:space="preserve">n = </w:t>
            </w:r>
            <w:r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1248" w:type="dxa"/>
            <w:shd w:val="clear" w:color="000000" w:fill="00B050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0.21</w:t>
            </w:r>
          </w:p>
        </w:tc>
        <w:tc>
          <w:tcPr>
            <w:tcW w:w="1126" w:type="dxa"/>
            <w:shd w:val="clear" w:color="000000" w:fill="00B050"/>
            <w:vAlign w:val="center"/>
          </w:tcPr>
          <w:p w:rsidR="005479F3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t>48%</w:t>
            </w:r>
          </w:p>
        </w:tc>
      </w:tr>
      <w:tr w:rsidR="005479F3" w:rsidRPr="0083644B" w:rsidTr="00B90241">
        <w:trPr>
          <w:trHeight w:val="300"/>
          <w:jc w:val="center"/>
        </w:trPr>
        <w:tc>
          <w:tcPr>
            <w:tcW w:w="2428" w:type="dxa"/>
            <w:vMerge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43" w:type="dxa"/>
            <w:shd w:val="clear" w:color="auto" w:fill="auto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644B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0-20 mm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644B">
              <w:rPr>
                <w:rFonts w:ascii="Calibri" w:eastAsia="Times New Roman" w:hAnsi="Calibri" w:cs="Calibri"/>
                <w:color w:val="000000"/>
              </w:rPr>
              <w:t>n = 1</w:t>
            </w: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248" w:type="dxa"/>
            <w:shd w:val="clear" w:color="auto" w:fill="00B050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0.57</w:t>
            </w:r>
          </w:p>
        </w:tc>
        <w:tc>
          <w:tcPr>
            <w:tcW w:w="1126" w:type="dxa"/>
            <w:shd w:val="clear" w:color="auto" w:fill="00B050"/>
            <w:vAlign w:val="center"/>
          </w:tcPr>
          <w:p w:rsidR="005479F3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t>82%</w:t>
            </w:r>
          </w:p>
        </w:tc>
      </w:tr>
      <w:tr w:rsidR="005479F3" w:rsidRPr="0083644B" w:rsidTr="00B90241">
        <w:trPr>
          <w:trHeight w:val="300"/>
          <w:jc w:val="center"/>
        </w:trPr>
        <w:tc>
          <w:tcPr>
            <w:tcW w:w="2428" w:type="dxa"/>
            <w:vMerge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43" w:type="dxa"/>
            <w:shd w:val="clear" w:color="auto" w:fill="auto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644B">
              <w:rPr>
                <w:rFonts w:ascii="Calibri" w:eastAsia="Times New Roman" w:hAnsi="Calibri" w:cs="Calibri"/>
                <w:color w:val="000000"/>
              </w:rPr>
              <w:t>greater than 2</w:t>
            </w:r>
            <w:r>
              <w:rPr>
                <w:rFonts w:ascii="Calibri" w:eastAsia="Times New Roman" w:hAnsi="Calibri" w:cs="Calibri"/>
                <w:color w:val="000000"/>
              </w:rPr>
              <w:t>0</w:t>
            </w:r>
            <w:r w:rsidRPr="0083644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>mm</w:t>
            </w:r>
          </w:p>
        </w:tc>
        <w:tc>
          <w:tcPr>
            <w:tcW w:w="1440" w:type="dxa"/>
            <w:shd w:val="clear" w:color="auto" w:fill="00B050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644B">
              <w:rPr>
                <w:rFonts w:ascii="Calibri" w:eastAsia="Times New Roman" w:hAnsi="Calibri" w:cs="Calibri"/>
                <w:color w:val="000000"/>
              </w:rPr>
              <w:t xml:space="preserve">n = </w:t>
            </w:r>
            <w:r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1248" w:type="dxa"/>
            <w:shd w:val="clear" w:color="auto" w:fill="FFFF00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0.68</w:t>
            </w:r>
          </w:p>
        </w:tc>
        <w:tc>
          <w:tcPr>
            <w:tcW w:w="1126" w:type="dxa"/>
            <w:shd w:val="clear" w:color="000000" w:fill="00B050"/>
            <w:vAlign w:val="center"/>
          </w:tcPr>
          <w:p w:rsidR="005479F3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t>98%</w:t>
            </w:r>
          </w:p>
        </w:tc>
      </w:tr>
      <w:tr w:rsidR="005479F3" w:rsidRPr="0083644B" w:rsidTr="00B90241">
        <w:trPr>
          <w:trHeight w:val="300"/>
          <w:jc w:val="center"/>
        </w:trPr>
        <w:tc>
          <w:tcPr>
            <w:tcW w:w="2428" w:type="dxa"/>
            <w:vMerge/>
            <w:vAlign w:val="center"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43" w:type="dxa"/>
            <w:shd w:val="clear" w:color="auto" w:fill="auto"/>
            <w:noWrap/>
            <w:vAlign w:val="center"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greater than or equal to 10 mm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 = 74</w:t>
            </w:r>
          </w:p>
        </w:tc>
        <w:tc>
          <w:tcPr>
            <w:tcW w:w="1248" w:type="dxa"/>
            <w:shd w:val="clear" w:color="auto" w:fill="auto"/>
            <w:noWrap/>
            <w:vAlign w:val="center"/>
          </w:tcPr>
          <w:p w:rsidR="005479F3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0.66</w:t>
            </w:r>
          </w:p>
        </w:tc>
        <w:tc>
          <w:tcPr>
            <w:tcW w:w="1126" w:type="dxa"/>
            <w:shd w:val="clear" w:color="auto" w:fill="auto"/>
            <w:vAlign w:val="center"/>
          </w:tcPr>
          <w:p w:rsidR="005479F3" w:rsidRDefault="005479F3" w:rsidP="00B90241">
            <w:pPr>
              <w:keepNext/>
              <w:keepLines/>
              <w:spacing w:after="0" w:line="240" w:lineRule="auto"/>
              <w:jc w:val="center"/>
            </w:pPr>
            <w:r>
              <w:t>95%</w:t>
            </w:r>
          </w:p>
        </w:tc>
      </w:tr>
      <w:tr w:rsidR="005479F3" w:rsidRPr="0083644B" w:rsidTr="00B90241">
        <w:trPr>
          <w:trHeight w:val="300"/>
          <w:jc w:val="center"/>
        </w:trPr>
        <w:tc>
          <w:tcPr>
            <w:tcW w:w="2428" w:type="dxa"/>
            <w:vMerge w:val="restart"/>
            <w:shd w:val="clear" w:color="auto" w:fill="auto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fldChar w:fldCharType="begin" w:fldLock="1"/>
            </w:r>
            <w:r>
              <w:rPr>
                <w:rFonts w:ascii="Calibri" w:eastAsia="Times New Roman" w:hAnsi="Calibri" w:cs="Calibri"/>
                <w:color w:val="000000"/>
              </w:rPr>
              <w:instrText>ADDIN CSL_CITATION {"citationItems":[{"id":"ITEM-1","itemData":{"DOI":"10.1148/ryai.2019180014","ISSN":"2638-6100","abstract":"A deep learning method shows promise for facilitating detection and segmentation of colorectal liver metastases; user correction of three-dimensional automated segmentations can generally resolve deficiencies of fully automated segmentation for small metastases and is faster than manual three-dimensional segmentation.","author":[{"dropping-particle":"","family":"Vorontsov","given":"Eugene","non-dropping-particle":"","parse-names":false,"suffix":""},{"dropping-particle":"","family":"Cerny","given":"Milena","non-dropping-particle":"","parse-names":false,"suffix":""},{"dropping-particle":"","family":"Régnier","given":"Philippe","non-dropping-particle":"","parse-names":false,"suffix":""},{"dropping-particle":"","family":"Jorio","given":"Lisa","non-dropping-particle":"Di","parse-names":false,"suffix":""},{"dropping-particle":"","family":"Pal","given":"Christopher J.","non-dropping-particle":"","parse-names":false,"suffix":""},{"dropping-particle":"","family":"Lapointe","given":"Réal","non-dropping-particle":"","parse-names":false,"suffix":""},{"dropping-particle":"","family":"Vandenbroucke-Menu","given":"Franck","non-dropping-particle":"","parse-names":false,"suffix":""},{"dropping-particle":"","family":"Turcotte","given":"Simon","non-dropping-particle":"","parse-names":false,"suffix":""},{"dropping-particle":"","family":"Kadoury","given":"Samuel","non-dropping-particle":"","parse-names":false,"suffix":""},{"dropping-particle":"","family":"Tang","given":"An","non-dropping-particle":"","parse-names":false,"suffix":""}],"container-title":"Radiology: Artificial Intelligence","id":"ITEM-1","issue":"2","issued":{"date-parts":[["2019","3","13"]]},"page":"180014","publisher":"Radiological Society of North America (RSNA)","title":"Deep Learning for Automated Segmentation of Liver Lesions at CT in Patients with Colorectal Cancer Liver Metastases","type":"article-journal","volume":"1"},"uris":["http://www.mendeley.com/documents/?uuid=46a2a511-d32d-3c74-8ce4-2170b8e67a9b"]}],"mendeley":{"formattedCitation":"&lt;sup&gt;4&lt;/sup&gt;","plainTextFormattedCitation":"4","previouslyFormattedCitation":"&lt;sup&gt;4&lt;/sup&gt;"},"properties":{"noteIndex":0},"schema":"https://github.com/citation-style-language/schema/raw/master/csl-citation.json"}</w:instrText>
            </w:r>
            <w:r>
              <w:rPr>
                <w:rFonts w:ascii="Calibri" w:eastAsia="Times New Roman" w:hAnsi="Calibri" w:cs="Calibri"/>
                <w:color w:val="000000"/>
              </w:rPr>
              <w:fldChar w:fldCharType="separate"/>
            </w:r>
            <w:r w:rsidRPr="00D17B88">
              <w:rPr>
                <w:rFonts w:ascii="Calibri" w:eastAsia="Times New Roman" w:hAnsi="Calibri" w:cs="Calibri"/>
                <w:noProof/>
                <w:color w:val="000000"/>
                <w:vertAlign w:val="superscript"/>
              </w:rPr>
              <w:t>4</w:t>
            </w:r>
            <w:r>
              <w:rPr>
                <w:rFonts w:ascii="Calibri" w:eastAsia="Times New Roman" w:hAnsi="Calibri" w:cs="Calibri"/>
                <w:color w:val="000000"/>
              </w:rPr>
              <w:fldChar w:fldCharType="end"/>
            </w:r>
          </w:p>
        </w:tc>
        <w:tc>
          <w:tcPr>
            <w:tcW w:w="3143" w:type="dxa"/>
            <w:shd w:val="clear" w:color="auto" w:fill="auto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644B">
              <w:rPr>
                <w:rFonts w:ascii="Calibri" w:eastAsia="Times New Roman" w:hAnsi="Calibri" w:cs="Calibri"/>
                <w:color w:val="000000"/>
              </w:rPr>
              <w:t>less than 10 mm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644B">
              <w:rPr>
                <w:rFonts w:ascii="Calibri" w:eastAsia="Times New Roman" w:hAnsi="Calibri" w:cs="Calibri"/>
                <w:color w:val="000000"/>
              </w:rPr>
              <w:t>n = 30</w:t>
            </w:r>
          </w:p>
        </w:tc>
        <w:tc>
          <w:tcPr>
            <w:tcW w:w="1248" w:type="dxa"/>
            <w:shd w:val="clear" w:color="auto" w:fill="auto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644B">
              <w:rPr>
                <w:rFonts w:ascii="Calibri" w:eastAsia="Times New Roman" w:hAnsi="Calibri" w:cs="Calibri"/>
                <w:color w:val="000000"/>
              </w:rPr>
              <w:t>0.14</w:t>
            </w:r>
          </w:p>
        </w:tc>
        <w:tc>
          <w:tcPr>
            <w:tcW w:w="1126" w:type="dxa"/>
            <w:vAlign w:val="center"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5479F3" w:rsidRPr="0083644B" w:rsidTr="00B90241">
        <w:trPr>
          <w:trHeight w:val="300"/>
          <w:jc w:val="center"/>
        </w:trPr>
        <w:tc>
          <w:tcPr>
            <w:tcW w:w="2428" w:type="dxa"/>
            <w:vMerge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43" w:type="dxa"/>
            <w:shd w:val="clear" w:color="auto" w:fill="auto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644B">
              <w:rPr>
                <w:rFonts w:ascii="Calibri" w:eastAsia="Times New Roman" w:hAnsi="Calibri" w:cs="Calibri"/>
                <w:color w:val="000000"/>
              </w:rPr>
              <w:t>10-20 mm</w:t>
            </w:r>
          </w:p>
        </w:tc>
        <w:tc>
          <w:tcPr>
            <w:tcW w:w="1440" w:type="dxa"/>
            <w:shd w:val="clear" w:color="auto" w:fill="00B050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644B">
              <w:rPr>
                <w:rFonts w:ascii="Calibri" w:eastAsia="Times New Roman" w:hAnsi="Calibri" w:cs="Calibri"/>
                <w:color w:val="000000"/>
              </w:rPr>
              <w:t>n = 35</w:t>
            </w:r>
          </w:p>
        </w:tc>
        <w:tc>
          <w:tcPr>
            <w:tcW w:w="1248" w:type="dxa"/>
            <w:shd w:val="clear" w:color="auto" w:fill="auto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644B">
              <w:rPr>
                <w:rFonts w:ascii="Calibri" w:eastAsia="Times New Roman" w:hAnsi="Calibri" w:cs="Calibri"/>
                <w:color w:val="000000"/>
              </w:rPr>
              <w:t>0.53</w:t>
            </w:r>
          </w:p>
        </w:tc>
        <w:tc>
          <w:tcPr>
            <w:tcW w:w="1126" w:type="dxa"/>
            <w:vAlign w:val="center"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71%</w:t>
            </w:r>
          </w:p>
        </w:tc>
      </w:tr>
      <w:tr w:rsidR="005479F3" w:rsidRPr="0083644B" w:rsidTr="00B90241">
        <w:trPr>
          <w:trHeight w:val="300"/>
          <w:jc w:val="center"/>
        </w:trPr>
        <w:tc>
          <w:tcPr>
            <w:tcW w:w="2428" w:type="dxa"/>
            <w:vMerge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43" w:type="dxa"/>
            <w:shd w:val="clear" w:color="auto" w:fill="auto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644B">
              <w:rPr>
                <w:rFonts w:ascii="Calibri" w:eastAsia="Times New Roman" w:hAnsi="Calibri" w:cs="Calibri"/>
                <w:color w:val="000000"/>
              </w:rPr>
              <w:t>greater than 20 mm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644B">
              <w:rPr>
                <w:rFonts w:ascii="Calibri" w:eastAsia="Times New Roman" w:hAnsi="Calibri" w:cs="Calibri"/>
                <w:color w:val="000000"/>
              </w:rPr>
              <w:t>n = 40</w:t>
            </w:r>
          </w:p>
        </w:tc>
        <w:tc>
          <w:tcPr>
            <w:tcW w:w="1248" w:type="dxa"/>
            <w:shd w:val="clear" w:color="auto" w:fill="FFFF00"/>
            <w:noWrap/>
            <w:vAlign w:val="center"/>
            <w:hideMark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644B">
              <w:rPr>
                <w:rFonts w:ascii="Calibri" w:eastAsia="Times New Roman" w:hAnsi="Calibri" w:cs="Calibri"/>
                <w:color w:val="000000"/>
              </w:rPr>
              <w:t>0.68</w:t>
            </w:r>
          </w:p>
        </w:tc>
        <w:tc>
          <w:tcPr>
            <w:tcW w:w="1126" w:type="dxa"/>
            <w:vAlign w:val="center"/>
          </w:tcPr>
          <w:p w:rsidR="005479F3" w:rsidRPr="0083644B" w:rsidRDefault="005479F3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85%</w:t>
            </w:r>
          </w:p>
        </w:tc>
      </w:tr>
    </w:tbl>
    <w:p w:rsidR="003A57F9" w:rsidRDefault="005479F3">
      <w:bookmarkStart w:id="0" w:name="_GoBack"/>
      <w:bookmarkEnd w:id="0"/>
    </w:p>
    <w:sectPr w:rsidR="003A5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9F3"/>
    <w:rsid w:val="004D7BB8"/>
    <w:rsid w:val="005479F3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92A1EF-33DB-493B-BB0F-7DD74B3BC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79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5479F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432</Words>
  <Characters>2469</Characters>
  <Application>Microsoft Office Word</Application>
  <DocSecurity>0</DocSecurity>
  <Lines>20</Lines>
  <Paragraphs>5</Paragraphs>
  <ScaleCrop>false</ScaleCrop>
  <Company>M. D. Anderson Cancer Center</Company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1</cp:revision>
  <dcterms:created xsi:type="dcterms:W3CDTF">2020-08-28T19:08:00Z</dcterms:created>
  <dcterms:modified xsi:type="dcterms:W3CDTF">2020-08-28T19:08:00Z</dcterms:modified>
</cp:coreProperties>
</file>