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5E2" w:rsidRPr="00871F6B" w:rsidRDefault="00BC55E2" w:rsidP="00BC55E2">
      <w:pPr>
        <w:pStyle w:val="Caption"/>
        <w:keepNext/>
        <w:keepLines/>
        <w:spacing w:line="360" w:lineRule="auto"/>
        <w:rPr>
          <w:rFonts w:ascii="Times New Roman" w:hAnsi="Times New Roman"/>
          <w:i w:val="0"/>
          <w:color w:val="auto"/>
          <w:sz w:val="24"/>
          <w:szCs w:val="24"/>
        </w:rPr>
      </w:pPr>
      <w:r w:rsidRPr="00871F6B">
        <w:rPr>
          <w:rFonts w:ascii="Times New Roman" w:hAnsi="Times New Roman"/>
          <w:i w:val="0"/>
          <w:color w:val="auto"/>
          <w:sz w:val="24"/>
          <w:szCs w:val="24"/>
        </w:rPr>
        <w:t>Figure</w:t>
      </w:r>
      <w:r w:rsidR="0001005C">
        <w:rPr>
          <w:rFonts w:ascii="Times New Roman" w:hAnsi="Times New Roman"/>
          <w:i w:val="0"/>
          <w:color w:val="auto"/>
          <w:sz w:val="24"/>
          <w:szCs w:val="24"/>
        </w:rPr>
        <w:t xml:space="preserve"> 7</w:t>
      </w:r>
      <w:bookmarkStart w:id="0" w:name="_GoBack"/>
      <w:bookmarkEnd w:id="0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: Example of 5-mm expansion on post-treatment CT images (left column) vs recurrence images (right column) for patient 5 and patient 14. </w:t>
      </w:r>
    </w:p>
    <w:p w:rsidR="00BC55E2" w:rsidRPr="00871F6B" w:rsidRDefault="00BC55E2" w:rsidP="00BC55E2">
      <w:pPr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EF9847" wp14:editId="4AB1CAC3">
            <wp:extent cx="5943600" cy="536535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5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3AF0" w:rsidRDefault="00A63AF0"/>
    <w:sectPr w:rsidR="00A63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5E2"/>
    <w:rsid w:val="0001005C"/>
    <w:rsid w:val="00A63AF0"/>
    <w:rsid w:val="00BC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F537"/>
  <w15:chartTrackingRefBased/>
  <w15:docId w15:val="{F8571714-54F8-4078-84DA-AD2F88AB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5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C55E2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2</cp:revision>
  <dcterms:created xsi:type="dcterms:W3CDTF">2021-07-26T17:00:00Z</dcterms:created>
  <dcterms:modified xsi:type="dcterms:W3CDTF">2021-07-26T17:51:00Z</dcterms:modified>
</cp:coreProperties>
</file>