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632E" w:rsidRPr="00D055C7" w:rsidRDefault="0098632E" w:rsidP="0098632E">
      <w:pPr>
        <w:pStyle w:val="Caption"/>
        <w:keepNext/>
        <w:spacing w:after="0"/>
        <w:contextualSpacing/>
        <w:rPr>
          <w:rFonts w:ascii="Arial" w:hAnsi="Arial" w:cs="Arial"/>
          <w:b/>
          <w:i w:val="0"/>
          <w:sz w:val="16"/>
          <w:szCs w:val="16"/>
        </w:rPr>
      </w:pPr>
      <w:r w:rsidRPr="00D055C7">
        <w:rPr>
          <w:rFonts w:ascii="Arial" w:hAnsi="Arial" w:cs="Arial"/>
          <w:b/>
          <w:i w:val="0"/>
          <w:color w:val="auto"/>
          <w:sz w:val="16"/>
          <w:szCs w:val="16"/>
        </w:rPr>
        <w:t xml:space="preserve">Table </w:t>
      </w:r>
      <w:r w:rsidRPr="00D055C7">
        <w:rPr>
          <w:rFonts w:ascii="Arial" w:hAnsi="Arial" w:cs="Arial"/>
          <w:b/>
          <w:i w:val="0"/>
          <w:color w:val="auto"/>
          <w:sz w:val="16"/>
          <w:szCs w:val="16"/>
        </w:rPr>
        <w:fldChar w:fldCharType="begin"/>
      </w:r>
      <w:r w:rsidRPr="00D055C7">
        <w:rPr>
          <w:rFonts w:ascii="Arial" w:hAnsi="Arial" w:cs="Arial"/>
          <w:b/>
          <w:i w:val="0"/>
          <w:color w:val="auto"/>
          <w:sz w:val="16"/>
          <w:szCs w:val="16"/>
        </w:rPr>
        <w:instrText xml:space="preserve"> SEQ Table \* ARABIC </w:instrText>
      </w:r>
      <w:r w:rsidRPr="00D055C7">
        <w:rPr>
          <w:rFonts w:ascii="Arial" w:hAnsi="Arial" w:cs="Arial"/>
          <w:b/>
          <w:i w:val="0"/>
          <w:color w:val="auto"/>
          <w:sz w:val="16"/>
          <w:szCs w:val="16"/>
        </w:rPr>
        <w:fldChar w:fldCharType="separate"/>
      </w:r>
      <w:r w:rsidRPr="00D055C7">
        <w:rPr>
          <w:rFonts w:ascii="Arial" w:hAnsi="Arial" w:cs="Arial"/>
          <w:b/>
          <w:i w:val="0"/>
          <w:noProof/>
          <w:color w:val="auto"/>
          <w:sz w:val="16"/>
          <w:szCs w:val="16"/>
        </w:rPr>
        <w:t>4</w:t>
      </w:r>
      <w:r w:rsidRPr="00D055C7">
        <w:rPr>
          <w:rFonts w:ascii="Arial" w:hAnsi="Arial" w:cs="Arial"/>
          <w:b/>
          <w:i w:val="0"/>
          <w:noProof/>
          <w:color w:val="auto"/>
          <w:sz w:val="16"/>
          <w:szCs w:val="16"/>
        </w:rPr>
        <w:fldChar w:fldCharType="end"/>
      </w:r>
      <w:r w:rsidRPr="00D055C7">
        <w:rPr>
          <w:rFonts w:ascii="Arial" w:hAnsi="Arial" w:cs="Arial"/>
          <w:b/>
          <w:i w:val="0"/>
          <w:color w:val="auto"/>
          <w:sz w:val="16"/>
          <w:szCs w:val="16"/>
        </w:rPr>
        <w:t xml:space="preserve">: Comparison of CRLM </w:t>
      </w:r>
      <w:r w:rsidRPr="00427F10">
        <w:rPr>
          <w:rFonts w:ascii="Arial" w:hAnsi="Arial" w:cs="Arial"/>
          <w:b/>
          <w:i w:val="0"/>
          <w:color w:val="auto"/>
          <w:sz w:val="16"/>
          <w:szCs w:val="16"/>
        </w:rPr>
        <w:t>Segmentation Results</w:t>
      </w:r>
      <w:r w:rsidRPr="00D055C7">
        <w:rPr>
          <w:rFonts w:ascii="Arial" w:hAnsi="Arial" w:cs="Arial"/>
          <w:b/>
          <w:i w:val="0"/>
          <w:color w:val="auto"/>
          <w:sz w:val="16"/>
          <w:szCs w:val="16"/>
        </w:rPr>
        <w:t xml:space="preserve"> from </w:t>
      </w:r>
      <w:r w:rsidRPr="00427F10">
        <w:rPr>
          <w:rFonts w:ascii="Arial" w:hAnsi="Arial" w:cs="Arial"/>
          <w:b/>
          <w:i w:val="0"/>
          <w:color w:val="auto"/>
          <w:sz w:val="16"/>
          <w:szCs w:val="16"/>
        </w:rPr>
        <w:t>Our Model</w:t>
      </w:r>
      <w:r w:rsidRPr="00D055C7">
        <w:rPr>
          <w:rFonts w:ascii="Arial" w:hAnsi="Arial" w:cs="Arial"/>
          <w:b/>
          <w:i w:val="0"/>
          <w:color w:val="auto"/>
          <w:sz w:val="16"/>
          <w:szCs w:val="16"/>
        </w:rPr>
        <w:t xml:space="preserve"> and the </w:t>
      </w:r>
      <w:r w:rsidRPr="00427F10">
        <w:rPr>
          <w:rFonts w:ascii="Arial" w:hAnsi="Arial" w:cs="Arial"/>
          <w:b/>
          <w:i w:val="0"/>
          <w:color w:val="auto"/>
          <w:sz w:val="16"/>
          <w:szCs w:val="16"/>
        </w:rPr>
        <w:t>L</w:t>
      </w:r>
      <w:r w:rsidRPr="00D055C7">
        <w:rPr>
          <w:rFonts w:ascii="Arial" w:hAnsi="Arial" w:cs="Arial"/>
          <w:b/>
          <w:i w:val="0"/>
          <w:color w:val="auto"/>
          <w:sz w:val="16"/>
          <w:szCs w:val="16"/>
        </w:rPr>
        <w:t xml:space="preserve">iterature. Green </w:t>
      </w:r>
      <w:r w:rsidRPr="00427F10">
        <w:rPr>
          <w:rFonts w:ascii="Arial" w:hAnsi="Arial" w:cs="Arial"/>
          <w:b/>
          <w:i w:val="0"/>
          <w:color w:val="auto"/>
          <w:sz w:val="16"/>
          <w:szCs w:val="16"/>
        </w:rPr>
        <w:t>Box Indicates More Disease Sites</w:t>
      </w:r>
      <w:r w:rsidRPr="00D055C7">
        <w:rPr>
          <w:rFonts w:ascii="Arial" w:hAnsi="Arial" w:cs="Arial"/>
          <w:b/>
          <w:i w:val="0"/>
          <w:color w:val="auto"/>
          <w:sz w:val="16"/>
          <w:szCs w:val="16"/>
        </w:rPr>
        <w:t xml:space="preserve"> (n), </w:t>
      </w:r>
      <w:r w:rsidRPr="00427F10">
        <w:rPr>
          <w:rFonts w:ascii="Arial" w:hAnsi="Arial" w:cs="Arial"/>
          <w:b/>
          <w:i w:val="0"/>
          <w:color w:val="auto"/>
          <w:sz w:val="16"/>
          <w:szCs w:val="16"/>
        </w:rPr>
        <w:t>B</w:t>
      </w:r>
      <w:r w:rsidRPr="00D055C7">
        <w:rPr>
          <w:rFonts w:ascii="Arial" w:hAnsi="Arial" w:cs="Arial"/>
          <w:b/>
          <w:i w:val="0"/>
          <w:color w:val="auto"/>
          <w:sz w:val="16"/>
          <w:szCs w:val="16"/>
        </w:rPr>
        <w:t xml:space="preserve">etter Dice Similarity Coefficient (DSC), or </w:t>
      </w:r>
      <w:r w:rsidRPr="00427F10">
        <w:rPr>
          <w:rFonts w:ascii="Arial" w:hAnsi="Arial" w:cs="Arial"/>
          <w:b/>
          <w:i w:val="0"/>
          <w:color w:val="auto"/>
          <w:sz w:val="16"/>
          <w:szCs w:val="16"/>
        </w:rPr>
        <w:t>Higher Sensitivity</w:t>
      </w:r>
      <w:r w:rsidRPr="00D055C7">
        <w:rPr>
          <w:rFonts w:ascii="Arial" w:hAnsi="Arial" w:cs="Arial"/>
          <w:b/>
          <w:i w:val="0"/>
          <w:color w:val="auto"/>
          <w:sz w:val="16"/>
          <w:szCs w:val="16"/>
        </w:rPr>
        <w:t xml:space="preserve">. </w:t>
      </w:r>
    </w:p>
    <w:tbl>
      <w:tblPr>
        <w:tblW w:w="9450" w:type="dxa"/>
        <w:jc w:val="center"/>
        <w:tblLook w:val="04A0" w:firstRow="1" w:lastRow="0" w:firstColumn="1" w:lastColumn="0" w:noHBand="0" w:noVBand="1"/>
      </w:tblPr>
      <w:tblGrid>
        <w:gridCol w:w="1530"/>
        <w:gridCol w:w="1620"/>
        <w:gridCol w:w="2520"/>
        <w:gridCol w:w="1440"/>
        <w:gridCol w:w="1170"/>
        <w:gridCol w:w="1170"/>
      </w:tblGrid>
      <w:tr w:rsidR="0098632E" w:rsidRPr="00427F10" w:rsidTr="00C5708D">
        <w:trPr>
          <w:trHeight w:val="20"/>
          <w:jc w:val="center"/>
        </w:trPr>
        <w:tc>
          <w:tcPr>
            <w:tcW w:w="1530" w:type="dxa"/>
            <w:tcBorders>
              <w:top w:val="single" w:sz="4" w:space="0" w:color="auto"/>
              <w:bottom w:val="single" w:sz="4" w:space="0" w:color="auto"/>
            </w:tcBorders>
            <w:shd w:val="clear" w:color="auto" w:fill="auto"/>
            <w:noWrap/>
            <w:vAlign w:val="bottom"/>
            <w:hideMark/>
          </w:tcPr>
          <w:p w:rsidR="0098632E" w:rsidRPr="00D055C7" w:rsidRDefault="0098632E" w:rsidP="00C5708D">
            <w:pPr>
              <w:keepNext/>
              <w:keepLines/>
              <w:spacing w:after="0" w:line="240" w:lineRule="auto"/>
              <w:contextualSpacing/>
              <w:rPr>
                <w:rFonts w:ascii="Arial" w:eastAsia="Times New Roman" w:hAnsi="Arial" w:cs="Arial"/>
                <w:b/>
                <w:color w:val="000000"/>
                <w:sz w:val="16"/>
                <w:szCs w:val="16"/>
              </w:rPr>
            </w:pPr>
            <w:r w:rsidRPr="00D055C7">
              <w:rPr>
                <w:rFonts w:ascii="Arial" w:eastAsia="Times New Roman" w:hAnsi="Arial" w:cs="Arial"/>
                <w:b/>
                <w:color w:val="000000"/>
                <w:sz w:val="16"/>
                <w:szCs w:val="16"/>
              </w:rPr>
              <w:t>Method</w:t>
            </w:r>
          </w:p>
        </w:tc>
        <w:tc>
          <w:tcPr>
            <w:tcW w:w="1620" w:type="dxa"/>
            <w:tcBorders>
              <w:top w:val="single" w:sz="4" w:space="0" w:color="auto"/>
              <w:bottom w:val="single" w:sz="4" w:space="0" w:color="auto"/>
            </w:tcBorders>
            <w:vAlign w:val="bottom"/>
          </w:tcPr>
          <w:p w:rsidR="0098632E" w:rsidRPr="00D055C7" w:rsidRDefault="0098632E" w:rsidP="00C5708D">
            <w:pPr>
              <w:keepNext/>
              <w:keepLines/>
              <w:spacing w:after="0" w:line="240" w:lineRule="auto"/>
              <w:contextualSpacing/>
              <w:rPr>
                <w:rFonts w:ascii="Arial" w:eastAsia="Times New Roman" w:hAnsi="Arial" w:cs="Arial"/>
                <w:b/>
                <w:color w:val="000000"/>
                <w:sz w:val="16"/>
                <w:szCs w:val="16"/>
              </w:rPr>
            </w:pPr>
            <w:r w:rsidRPr="00D055C7">
              <w:rPr>
                <w:rFonts w:ascii="Arial" w:eastAsia="Times New Roman" w:hAnsi="Arial" w:cs="Arial"/>
                <w:b/>
                <w:color w:val="000000"/>
                <w:sz w:val="16"/>
                <w:szCs w:val="16"/>
              </w:rPr>
              <w:t>Model</w:t>
            </w:r>
          </w:p>
        </w:tc>
        <w:tc>
          <w:tcPr>
            <w:tcW w:w="2520" w:type="dxa"/>
            <w:tcBorders>
              <w:top w:val="single" w:sz="4" w:space="0" w:color="auto"/>
              <w:bottom w:val="single" w:sz="4" w:space="0" w:color="auto"/>
            </w:tcBorders>
            <w:shd w:val="clear" w:color="auto" w:fill="auto"/>
            <w:noWrap/>
            <w:vAlign w:val="bottom"/>
            <w:hideMark/>
          </w:tcPr>
          <w:p w:rsidR="0098632E" w:rsidRPr="00D055C7" w:rsidRDefault="0098632E" w:rsidP="00C5708D">
            <w:pPr>
              <w:keepNext/>
              <w:keepLines/>
              <w:spacing w:after="0" w:line="240" w:lineRule="auto"/>
              <w:contextualSpacing/>
              <w:rPr>
                <w:rFonts w:ascii="Arial" w:eastAsia="Times New Roman" w:hAnsi="Arial" w:cs="Arial"/>
                <w:b/>
                <w:color w:val="000000"/>
                <w:sz w:val="16"/>
                <w:szCs w:val="16"/>
              </w:rPr>
            </w:pPr>
            <w:r w:rsidRPr="00D055C7">
              <w:rPr>
                <w:rFonts w:ascii="Arial" w:eastAsia="Times New Roman" w:hAnsi="Arial" w:cs="Arial"/>
                <w:b/>
                <w:color w:val="000000"/>
                <w:sz w:val="16"/>
                <w:szCs w:val="16"/>
              </w:rPr>
              <w:t xml:space="preserve">Disease </w:t>
            </w:r>
            <w:r w:rsidRPr="00427F10">
              <w:rPr>
                <w:rFonts w:ascii="Arial" w:eastAsia="Times New Roman" w:hAnsi="Arial" w:cs="Arial"/>
                <w:b/>
                <w:color w:val="000000"/>
                <w:sz w:val="16"/>
                <w:szCs w:val="16"/>
              </w:rPr>
              <w:t>Diameter</w:t>
            </w:r>
            <w:r>
              <w:rPr>
                <w:rFonts w:ascii="Arial" w:eastAsia="Times New Roman" w:hAnsi="Arial" w:cs="Arial"/>
                <w:b/>
                <w:color w:val="000000"/>
                <w:sz w:val="16"/>
                <w:szCs w:val="16"/>
              </w:rPr>
              <w:t xml:space="preserve"> and </w:t>
            </w:r>
            <w:r w:rsidRPr="00427F10">
              <w:rPr>
                <w:rFonts w:ascii="Arial" w:eastAsia="Times New Roman" w:hAnsi="Arial" w:cs="Arial"/>
                <w:b/>
                <w:color w:val="000000"/>
                <w:sz w:val="16"/>
                <w:szCs w:val="16"/>
              </w:rPr>
              <w:t>Source</w:t>
            </w:r>
          </w:p>
        </w:tc>
        <w:tc>
          <w:tcPr>
            <w:tcW w:w="1440" w:type="dxa"/>
            <w:tcBorders>
              <w:top w:val="single" w:sz="4" w:space="0" w:color="auto"/>
              <w:bottom w:val="single" w:sz="4" w:space="0" w:color="auto"/>
            </w:tcBorders>
            <w:shd w:val="clear" w:color="auto" w:fill="auto"/>
            <w:noWrap/>
            <w:vAlign w:val="bottom"/>
            <w:hideMark/>
          </w:tcPr>
          <w:p w:rsidR="0098632E" w:rsidRPr="00D055C7" w:rsidRDefault="0098632E" w:rsidP="00C5708D">
            <w:pPr>
              <w:keepNext/>
              <w:keepLines/>
              <w:spacing w:after="0" w:line="240" w:lineRule="auto"/>
              <w:contextualSpacing/>
              <w:rPr>
                <w:rFonts w:ascii="Arial" w:eastAsia="Times New Roman" w:hAnsi="Arial" w:cs="Arial"/>
                <w:b/>
                <w:color w:val="000000"/>
                <w:sz w:val="16"/>
                <w:szCs w:val="16"/>
              </w:rPr>
            </w:pPr>
            <w:r>
              <w:rPr>
                <w:rFonts w:ascii="Arial" w:eastAsia="Times New Roman" w:hAnsi="Arial" w:cs="Arial"/>
                <w:b/>
                <w:color w:val="000000"/>
                <w:sz w:val="16"/>
                <w:szCs w:val="16"/>
              </w:rPr>
              <w:t>No. of</w:t>
            </w:r>
            <w:r w:rsidRPr="00D055C7">
              <w:rPr>
                <w:rFonts w:ascii="Arial" w:eastAsia="Times New Roman" w:hAnsi="Arial" w:cs="Arial"/>
                <w:b/>
                <w:color w:val="000000"/>
                <w:sz w:val="16"/>
                <w:szCs w:val="16"/>
              </w:rPr>
              <w:t xml:space="preserve"> Sites</w:t>
            </w:r>
          </w:p>
        </w:tc>
        <w:tc>
          <w:tcPr>
            <w:tcW w:w="1170" w:type="dxa"/>
            <w:tcBorders>
              <w:top w:val="single" w:sz="4" w:space="0" w:color="auto"/>
              <w:bottom w:val="single" w:sz="4" w:space="0" w:color="auto"/>
            </w:tcBorders>
            <w:shd w:val="clear" w:color="auto" w:fill="auto"/>
            <w:noWrap/>
            <w:vAlign w:val="bottom"/>
            <w:hideMark/>
          </w:tcPr>
          <w:p w:rsidR="0098632E" w:rsidRPr="00D055C7" w:rsidRDefault="0098632E" w:rsidP="00C5708D">
            <w:pPr>
              <w:keepNext/>
              <w:keepLines/>
              <w:spacing w:after="0" w:line="240" w:lineRule="auto"/>
              <w:contextualSpacing/>
              <w:rPr>
                <w:rFonts w:ascii="Arial" w:eastAsia="Times New Roman" w:hAnsi="Arial" w:cs="Arial"/>
                <w:b/>
                <w:color w:val="000000"/>
                <w:sz w:val="16"/>
                <w:szCs w:val="16"/>
              </w:rPr>
            </w:pPr>
            <w:r w:rsidRPr="00D055C7">
              <w:rPr>
                <w:rFonts w:ascii="Arial" w:eastAsia="Times New Roman" w:hAnsi="Arial" w:cs="Arial"/>
                <w:b/>
                <w:color w:val="000000"/>
                <w:sz w:val="16"/>
                <w:szCs w:val="16"/>
              </w:rPr>
              <w:t>Mean DSC</w:t>
            </w:r>
          </w:p>
        </w:tc>
        <w:tc>
          <w:tcPr>
            <w:tcW w:w="1170" w:type="dxa"/>
            <w:tcBorders>
              <w:top w:val="single" w:sz="4" w:space="0" w:color="auto"/>
              <w:bottom w:val="single" w:sz="4" w:space="0" w:color="auto"/>
            </w:tcBorders>
            <w:vAlign w:val="bottom"/>
          </w:tcPr>
          <w:p w:rsidR="0098632E" w:rsidRPr="00D055C7" w:rsidRDefault="0098632E" w:rsidP="00C5708D">
            <w:pPr>
              <w:keepNext/>
              <w:keepLines/>
              <w:spacing w:after="0" w:line="240" w:lineRule="auto"/>
              <w:contextualSpacing/>
              <w:rPr>
                <w:rFonts w:ascii="Arial" w:eastAsia="Times New Roman" w:hAnsi="Arial" w:cs="Arial"/>
                <w:b/>
                <w:color w:val="000000"/>
                <w:sz w:val="16"/>
                <w:szCs w:val="16"/>
              </w:rPr>
            </w:pPr>
            <w:r w:rsidRPr="00D055C7">
              <w:rPr>
                <w:rFonts w:ascii="Arial" w:eastAsia="Times New Roman" w:hAnsi="Arial" w:cs="Arial"/>
                <w:b/>
                <w:color w:val="000000"/>
                <w:sz w:val="16"/>
                <w:szCs w:val="16"/>
              </w:rPr>
              <w:t>Sensitivity</w:t>
            </w:r>
          </w:p>
        </w:tc>
      </w:tr>
      <w:tr w:rsidR="0098632E" w:rsidRPr="00427F10" w:rsidTr="00C5708D">
        <w:trPr>
          <w:trHeight w:val="20"/>
          <w:jc w:val="center"/>
        </w:trPr>
        <w:tc>
          <w:tcPr>
            <w:tcW w:w="1530" w:type="dxa"/>
            <w:vMerge w:val="restart"/>
            <w:tcBorders>
              <w:top w:val="single" w:sz="4" w:space="0" w:color="auto"/>
            </w:tcBorders>
            <w:shd w:val="clear" w:color="auto" w:fill="auto"/>
            <w:noWrap/>
            <w:hideMark/>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 xml:space="preserve">Presented </w:t>
            </w:r>
            <w:r w:rsidRPr="00427F10">
              <w:rPr>
                <w:rFonts w:ascii="Arial" w:eastAsia="Times New Roman" w:hAnsi="Arial" w:cs="Arial"/>
                <w:color w:val="000000"/>
                <w:sz w:val="16"/>
                <w:szCs w:val="16"/>
              </w:rPr>
              <w:t>m</w:t>
            </w:r>
            <w:r w:rsidRPr="00D055C7">
              <w:rPr>
                <w:rFonts w:ascii="Arial" w:eastAsia="Times New Roman" w:hAnsi="Arial" w:cs="Arial"/>
                <w:color w:val="000000"/>
                <w:sz w:val="16"/>
                <w:szCs w:val="16"/>
              </w:rPr>
              <w:t>ethod</w:t>
            </w:r>
          </w:p>
        </w:tc>
        <w:tc>
          <w:tcPr>
            <w:tcW w:w="1620" w:type="dxa"/>
            <w:vMerge w:val="restart"/>
            <w:tcBorders>
              <w:top w:val="single" w:sz="4" w:space="0" w:color="auto"/>
            </w:tcBorders>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Hybrid</w:t>
            </w:r>
            <w:r>
              <w:rPr>
                <w:rFonts w:ascii="Arial" w:eastAsia="Times New Roman" w:hAnsi="Arial" w:cs="Arial"/>
                <w:color w:val="000000"/>
                <w:sz w:val="16"/>
                <w:szCs w:val="16"/>
              </w:rPr>
              <w:t>-</w:t>
            </w:r>
            <w:proofErr w:type="spellStart"/>
            <w:r w:rsidRPr="00D055C7">
              <w:rPr>
                <w:rFonts w:ascii="Arial" w:eastAsia="Times New Roman" w:hAnsi="Arial" w:cs="Arial"/>
                <w:color w:val="000000"/>
                <w:sz w:val="16"/>
                <w:szCs w:val="16"/>
              </w:rPr>
              <w:t>WNet</w:t>
            </w:r>
            <w:proofErr w:type="spellEnd"/>
          </w:p>
        </w:tc>
        <w:tc>
          <w:tcPr>
            <w:tcW w:w="2520" w:type="dxa"/>
            <w:tcBorders>
              <w:top w:val="single" w:sz="4" w:space="0" w:color="auto"/>
            </w:tcBorders>
            <w:shd w:val="clear" w:color="auto" w:fill="auto"/>
            <w:noWrap/>
            <w:vAlign w:val="center"/>
            <w:hideMark/>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&lt; 10 mm</w:t>
            </w:r>
          </w:p>
        </w:tc>
        <w:tc>
          <w:tcPr>
            <w:tcW w:w="1440" w:type="dxa"/>
            <w:tcBorders>
              <w:top w:val="single" w:sz="4" w:space="0" w:color="auto"/>
            </w:tcBorders>
            <w:shd w:val="clear" w:color="auto" w:fill="00B050"/>
            <w:noWrap/>
            <w:vAlign w:val="center"/>
            <w:hideMark/>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42</w:t>
            </w:r>
          </w:p>
        </w:tc>
        <w:tc>
          <w:tcPr>
            <w:tcW w:w="1170" w:type="dxa"/>
            <w:tcBorders>
              <w:top w:val="single" w:sz="4" w:space="0" w:color="auto"/>
            </w:tcBorders>
            <w:shd w:val="clear" w:color="auto" w:fill="auto"/>
            <w:noWrap/>
            <w:vAlign w:val="center"/>
            <w:hideMark/>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0.00</w:t>
            </w:r>
          </w:p>
        </w:tc>
        <w:tc>
          <w:tcPr>
            <w:tcW w:w="1170" w:type="dxa"/>
            <w:tcBorders>
              <w:top w:val="single" w:sz="4" w:space="0" w:color="auto"/>
            </w:tcBorders>
            <w:shd w:val="clear" w:color="auto" w:fill="auto"/>
            <w:vAlign w:val="center"/>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hAnsi="Arial" w:cs="Arial"/>
                <w:sz w:val="16"/>
                <w:szCs w:val="16"/>
              </w:rPr>
              <w:t>7%</w:t>
            </w:r>
          </w:p>
        </w:tc>
      </w:tr>
      <w:tr w:rsidR="0098632E" w:rsidRPr="00427F10" w:rsidTr="00C5708D">
        <w:trPr>
          <w:trHeight w:val="20"/>
          <w:jc w:val="center"/>
        </w:trPr>
        <w:tc>
          <w:tcPr>
            <w:tcW w:w="1530" w:type="dxa"/>
            <w:vMerge/>
            <w:vAlign w:val="center"/>
            <w:hideMark/>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p>
        </w:tc>
        <w:tc>
          <w:tcPr>
            <w:tcW w:w="1620" w:type="dxa"/>
            <w:vMerge/>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p>
        </w:tc>
        <w:tc>
          <w:tcPr>
            <w:tcW w:w="2520" w:type="dxa"/>
            <w:shd w:val="clear" w:color="auto" w:fill="auto"/>
            <w:noWrap/>
            <w:vAlign w:val="center"/>
            <w:hideMark/>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10-20 mm</w:t>
            </w:r>
          </w:p>
        </w:tc>
        <w:tc>
          <w:tcPr>
            <w:tcW w:w="1440" w:type="dxa"/>
            <w:shd w:val="clear" w:color="auto" w:fill="00B050"/>
            <w:noWrap/>
            <w:vAlign w:val="center"/>
            <w:hideMark/>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49</w:t>
            </w:r>
          </w:p>
        </w:tc>
        <w:tc>
          <w:tcPr>
            <w:tcW w:w="1170" w:type="dxa"/>
            <w:shd w:val="clear" w:color="auto" w:fill="auto"/>
            <w:noWrap/>
            <w:vAlign w:val="center"/>
            <w:hideMark/>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0.43</w:t>
            </w:r>
          </w:p>
        </w:tc>
        <w:tc>
          <w:tcPr>
            <w:tcW w:w="1170" w:type="dxa"/>
            <w:shd w:val="clear" w:color="auto" w:fill="auto"/>
            <w:vAlign w:val="center"/>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hAnsi="Arial" w:cs="Arial"/>
                <w:sz w:val="16"/>
                <w:szCs w:val="16"/>
              </w:rPr>
              <w:t>59%</w:t>
            </w:r>
          </w:p>
        </w:tc>
      </w:tr>
      <w:tr w:rsidR="0098632E" w:rsidRPr="00427F10" w:rsidTr="00C5708D">
        <w:trPr>
          <w:trHeight w:val="20"/>
          <w:jc w:val="center"/>
        </w:trPr>
        <w:tc>
          <w:tcPr>
            <w:tcW w:w="1530" w:type="dxa"/>
            <w:vMerge/>
            <w:vAlign w:val="center"/>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p>
        </w:tc>
        <w:tc>
          <w:tcPr>
            <w:tcW w:w="1620" w:type="dxa"/>
            <w:vMerge/>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p>
        </w:tc>
        <w:tc>
          <w:tcPr>
            <w:tcW w:w="2520" w:type="dxa"/>
            <w:shd w:val="clear" w:color="auto" w:fill="auto"/>
            <w:noWrap/>
            <w:vAlign w:val="center"/>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15-20 mm</w:t>
            </w:r>
          </w:p>
        </w:tc>
        <w:tc>
          <w:tcPr>
            <w:tcW w:w="1440" w:type="dxa"/>
            <w:shd w:val="clear" w:color="auto" w:fill="auto"/>
            <w:noWrap/>
            <w:vAlign w:val="center"/>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18</w:t>
            </w:r>
          </w:p>
        </w:tc>
        <w:tc>
          <w:tcPr>
            <w:tcW w:w="1170" w:type="dxa"/>
            <w:shd w:val="clear" w:color="auto" w:fill="auto"/>
            <w:noWrap/>
            <w:vAlign w:val="center"/>
          </w:tcPr>
          <w:p w:rsidR="0098632E" w:rsidRPr="00D055C7" w:rsidDel="00D96095"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0.68</w:t>
            </w:r>
          </w:p>
        </w:tc>
        <w:tc>
          <w:tcPr>
            <w:tcW w:w="1170" w:type="dxa"/>
            <w:shd w:val="clear" w:color="auto" w:fill="auto"/>
            <w:vAlign w:val="center"/>
          </w:tcPr>
          <w:p w:rsidR="0098632E" w:rsidRPr="00D055C7" w:rsidRDefault="0098632E" w:rsidP="00C5708D">
            <w:pPr>
              <w:keepNext/>
              <w:keepLines/>
              <w:spacing w:after="0" w:line="240" w:lineRule="auto"/>
              <w:contextualSpacing/>
              <w:rPr>
                <w:rFonts w:ascii="Arial" w:hAnsi="Arial" w:cs="Arial"/>
                <w:sz w:val="16"/>
                <w:szCs w:val="16"/>
              </w:rPr>
            </w:pPr>
            <w:r w:rsidRPr="00D055C7">
              <w:rPr>
                <w:rFonts w:ascii="Arial" w:hAnsi="Arial" w:cs="Arial"/>
                <w:sz w:val="16"/>
                <w:szCs w:val="16"/>
              </w:rPr>
              <w:t>94%</w:t>
            </w:r>
          </w:p>
        </w:tc>
      </w:tr>
      <w:tr w:rsidR="0098632E" w:rsidRPr="00427F10" w:rsidTr="00C5708D">
        <w:trPr>
          <w:trHeight w:val="20"/>
          <w:jc w:val="center"/>
        </w:trPr>
        <w:tc>
          <w:tcPr>
            <w:tcW w:w="1530" w:type="dxa"/>
            <w:vMerge/>
            <w:vAlign w:val="center"/>
            <w:hideMark/>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p>
        </w:tc>
        <w:tc>
          <w:tcPr>
            <w:tcW w:w="1620" w:type="dxa"/>
            <w:vMerge/>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p>
        </w:tc>
        <w:tc>
          <w:tcPr>
            <w:tcW w:w="2520" w:type="dxa"/>
            <w:shd w:val="clear" w:color="auto" w:fill="auto"/>
            <w:noWrap/>
            <w:vAlign w:val="center"/>
            <w:hideMark/>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Pr>
                <w:rFonts w:ascii="Arial" w:eastAsia="Times New Roman" w:hAnsi="Arial" w:cs="Arial"/>
                <w:color w:val="000000"/>
                <w:sz w:val="16"/>
                <w:szCs w:val="16"/>
              </w:rPr>
              <w:t>≥</w:t>
            </w:r>
            <w:r w:rsidRPr="00D055C7">
              <w:rPr>
                <w:rFonts w:ascii="Arial" w:eastAsia="Times New Roman" w:hAnsi="Arial" w:cs="Arial"/>
                <w:color w:val="000000"/>
                <w:sz w:val="16"/>
                <w:szCs w:val="16"/>
              </w:rPr>
              <w:t xml:space="preserve"> 20 mm</w:t>
            </w:r>
          </w:p>
        </w:tc>
        <w:tc>
          <w:tcPr>
            <w:tcW w:w="1440" w:type="dxa"/>
            <w:shd w:val="clear" w:color="auto" w:fill="auto"/>
            <w:noWrap/>
            <w:vAlign w:val="center"/>
            <w:hideMark/>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30</w:t>
            </w:r>
          </w:p>
        </w:tc>
        <w:tc>
          <w:tcPr>
            <w:tcW w:w="1170" w:type="dxa"/>
            <w:shd w:val="clear" w:color="auto" w:fill="00B050"/>
            <w:noWrap/>
            <w:vAlign w:val="center"/>
            <w:hideMark/>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0.77</w:t>
            </w:r>
          </w:p>
        </w:tc>
        <w:tc>
          <w:tcPr>
            <w:tcW w:w="1170" w:type="dxa"/>
            <w:shd w:val="clear" w:color="000000" w:fill="00B050"/>
            <w:vAlign w:val="center"/>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hAnsi="Arial" w:cs="Arial"/>
                <w:sz w:val="16"/>
                <w:szCs w:val="16"/>
              </w:rPr>
              <w:t>98%</w:t>
            </w:r>
          </w:p>
        </w:tc>
      </w:tr>
      <w:tr w:rsidR="0098632E" w:rsidRPr="00427F10" w:rsidTr="00C5708D">
        <w:trPr>
          <w:trHeight w:val="20"/>
          <w:jc w:val="center"/>
        </w:trPr>
        <w:tc>
          <w:tcPr>
            <w:tcW w:w="1530" w:type="dxa"/>
            <w:vMerge/>
            <w:vAlign w:val="center"/>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p>
        </w:tc>
        <w:tc>
          <w:tcPr>
            <w:tcW w:w="1620" w:type="dxa"/>
            <w:vMerge/>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p>
        </w:tc>
        <w:tc>
          <w:tcPr>
            <w:tcW w:w="2520" w:type="dxa"/>
            <w:shd w:val="clear" w:color="auto" w:fill="auto"/>
            <w:noWrap/>
            <w:vAlign w:val="center"/>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proofErr w:type="spellStart"/>
            <w:r w:rsidRPr="00D055C7">
              <w:rPr>
                <w:rFonts w:ascii="Arial" w:eastAsia="Times New Roman" w:hAnsi="Arial" w:cs="Arial"/>
                <w:color w:val="000000"/>
                <w:sz w:val="16"/>
                <w:szCs w:val="16"/>
              </w:rPr>
              <w:t>LiTS</w:t>
            </w:r>
            <w:proofErr w:type="spellEnd"/>
            <w:r w:rsidRPr="00D055C7">
              <w:rPr>
                <w:rFonts w:ascii="Arial" w:eastAsia="Times New Roman" w:hAnsi="Arial" w:cs="Arial"/>
                <w:color w:val="000000"/>
                <w:sz w:val="16"/>
                <w:szCs w:val="16"/>
              </w:rPr>
              <w:t xml:space="preserve"> </w:t>
            </w:r>
          </w:p>
        </w:tc>
        <w:tc>
          <w:tcPr>
            <w:tcW w:w="1440" w:type="dxa"/>
            <w:shd w:val="clear" w:color="auto" w:fill="auto"/>
            <w:noWrap/>
            <w:vAlign w:val="center"/>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70</w:t>
            </w:r>
            <w:r>
              <w:rPr>
                <w:rFonts w:ascii="Arial" w:eastAsia="Times New Roman" w:hAnsi="Arial" w:cs="Arial"/>
                <w:color w:val="000000"/>
                <w:sz w:val="16"/>
                <w:szCs w:val="16"/>
              </w:rPr>
              <w:t xml:space="preserve"> </w:t>
            </w:r>
            <w:r w:rsidRPr="00D055C7">
              <w:rPr>
                <w:rFonts w:ascii="Arial" w:eastAsia="Times New Roman" w:hAnsi="Arial" w:cs="Arial"/>
                <w:color w:val="000000"/>
                <w:sz w:val="16"/>
                <w:szCs w:val="16"/>
              </w:rPr>
              <w:t>patients</w:t>
            </w:r>
          </w:p>
        </w:tc>
        <w:tc>
          <w:tcPr>
            <w:tcW w:w="1170" w:type="dxa"/>
            <w:shd w:val="clear" w:color="auto" w:fill="auto"/>
            <w:noWrap/>
            <w:vAlign w:val="center"/>
          </w:tcPr>
          <w:p w:rsidR="0098632E" w:rsidRPr="00D055C7" w:rsidDel="00D96095"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0.810 global</w:t>
            </w:r>
          </w:p>
        </w:tc>
        <w:tc>
          <w:tcPr>
            <w:tcW w:w="1170" w:type="dxa"/>
            <w:shd w:val="clear" w:color="auto" w:fill="auto"/>
            <w:vAlign w:val="center"/>
          </w:tcPr>
          <w:p w:rsidR="0098632E" w:rsidRPr="00D055C7" w:rsidRDefault="0098632E" w:rsidP="00C5708D">
            <w:pPr>
              <w:keepNext/>
              <w:keepLines/>
              <w:spacing w:after="0" w:line="240" w:lineRule="auto"/>
              <w:contextualSpacing/>
              <w:rPr>
                <w:rFonts w:ascii="Arial" w:hAnsi="Arial" w:cs="Arial"/>
                <w:sz w:val="16"/>
                <w:szCs w:val="16"/>
              </w:rPr>
            </w:pPr>
            <w:r w:rsidRPr="00D055C7">
              <w:rPr>
                <w:rFonts w:ascii="Arial" w:hAnsi="Arial" w:cs="Arial"/>
                <w:sz w:val="16"/>
                <w:szCs w:val="16"/>
              </w:rPr>
              <w:t>-</w:t>
            </w:r>
          </w:p>
        </w:tc>
      </w:tr>
      <w:tr w:rsidR="0098632E" w:rsidRPr="00427F10" w:rsidTr="00C5708D">
        <w:trPr>
          <w:trHeight w:val="20"/>
          <w:jc w:val="center"/>
        </w:trPr>
        <w:tc>
          <w:tcPr>
            <w:tcW w:w="1530" w:type="dxa"/>
            <w:vMerge/>
            <w:vAlign w:val="center"/>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p>
        </w:tc>
        <w:tc>
          <w:tcPr>
            <w:tcW w:w="1620" w:type="dxa"/>
            <w:vMerge/>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p>
        </w:tc>
        <w:tc>
          <w:tcPr>
            <w:tcW w:w="2520" w:type="dxa"/>
            <w:shd w:val="clear" w:color="auto" w:fill="auto"/>
            <w:noWrap/>
            <w:vAlign w:val="center"/>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3D</w:t>
            </w:r>
            <w:r>
              <w:rPr>
                <w:rFonts w:ascii="Arial" w:eastAsia="Times New Roman" w:hAnsi="Arial" w:cs="Arial"/>
                <w:color w:val="000000"/>
                <w:sz w:val="16"/>
                <w:szCs w:val="16"/>
              </w:rPr>
              <w:t>-</w:t>
            </w:r>
            <w:r w:rsidRPr="00D055C7">
              <w:rPr>
                <w:rFonts w:ascii="Arial" w:eastAsia="Times New Roman" w:hAnsi="Arial" w:cs="Arial"/>
                <w:color w:val="000000"/>
                <w:sz w:val="16"/>
                <w:szCs w:val="16"/>
              </w:rPr>
              <w:t>IRCADb</w:t>
            </w:r>
          </w:p>
        </w:tc>
        <w:tc>
          <w:tcPr>
            <w:tcW w:w="1440" w:type="dxa"/>
            <w:shd w:val="clear" w:color="auto" w:fill="00B050"/>
            <w:noWrap/>
            <w:vAlign w:val="center"/>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15 patients</w:t>
            </w:r>
          </w:p>
        </w:tc>
        <w:tc>
          <w:tcPr>
            <w:tcW w:w="1170" w:type="dxa"/>
            <w:shd w:val="clear" w:color="auto" w:fill="00B050"/>
            <w:noWrap/>
            <w:vAlign w:val="center"/>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0.69</w:t>
            </w:r>
          </w:p>
        </w:tc>
        <w:tc>
          <w:tcPr>
            <w:tcW w:w="1170" w:type="dxa"/>
            <w:shd w:val="clear" w:color="auto" w:fill="auto"/>
            <w:vAlign w:val="center"/>
          </w:tcPr>
          <w:p w:rsidR="0098632E" w:rsidRPr="00D055C7" w:rsidRDefault="0098632E" w:rsidP="00C5708D">
            <w:pPr>
              <w:keepNext/>
              <w:keepLines/>
              <w:spacing w:after="0" w:line="240" w:lineRule="auto"/>
              <w:contextualSpacing/>
              <w:rPr>
                <w:rFonts w:ascii="Arial" w:hAnsi="Arial" w:cs="Arial"/>
                <w:sz w:val="16"/>
                <w:szCs w:val="16"/>
              </w:rPr>
            </w:pPr>
            <w:r w:rsidRPr="00D055C7">
              <w:rPr>
                <w:rFonts w:ascii="Arial" w:hAnsi="Arial" w:cs="Arial"/>
                <w:sz w:val="16"/>
                <w:szCs w:val="16"/>
              </w:rPr>
              <w:t>-</w:t>
            </w:r>
          </w:p>
        </w:tc>
      </w:tr>
      <w:tr w:rsidR="0098632E" w:rsidRPr="00427F10" w:rsidTr="00C5708D">
        <w:trPr>
          <w:trHeight w:val="20"/>
          <w:jc w:val="center"/>
        </w:trPr>
        <w:tc>
          <w:tcPr>
            <w:tcW w:w="1530" w:type="dxa"/>
            <w:vMerge w:val="restart"/>
            <w:shd w:val="clear" w:color="auto" w:fill="auto"/>
            <w:noWrap/>
            <w:hideMark/>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proofErr w:type="spellStart"/>
            <w:r w:rsidRPr="00D055C7">
              <w:rPr>
                <w:rFonts w:ascii="Arial" w:hAnsi="Arial" w:cs="Arial"/>
                <w:sz w:val="16"/>
                <w:szCs w:val="16"/>
              </w:rPr>
              <w:t>Vorontsov</w:t>
            </w:r>
            <w:proofErr w:type="spellEnd"/>
            <w:r w:rsidRPr="00D055C7">
              <w:rPr>
                <w:rFonts w:ascii="Arial" w:hAnsi="Arial" w:cs="Arial"/>
                <w:sz w:val="16"/>
                <w:szCs w:val="16"/>
              </w:rPr>
              <w:t xml:space="preserve"> et al</w:t>
            </w:r>
            <w:r w:rsidRPr="00D055C7">
              <w:rPr>
                <w:rFonts w:ascii="Arial" w:eastAsia="Times New Roman" w:hAnsi="Arial" w:cs="Arial"/>
                <w:color w:val="000000"/>
                <w:sz w:val="16"/>
                <w:szCs w:val="16"/>
              </w:rPr>
              <w:fldChar w:fldCharType="begin" w:fldLock="1"/>
            </w:r>
            <w:r w:rsidRPr="00D055C7">
              <w:rPr>
                <w:rFonts w:ascii="Arial" w:eastAsia="Times New Roman" w:hAnsi="Arial" w:cs="Arial"/>
                <w:color w:val="000000"/>
                <w:sz w:val="16"/>
                <w:szCs w:val="16"/>
              </w:rPr>
              <w:instrText>ADDIN CSL_CITATION {"citationItems":[{"id":"ITEM-1","itemData":{"DOI":"10.1148/ryai.2019180014","ISSN":"2638-6100","abstract":"A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Intelligence","id":"ITEM-1","issue":"2","issued":{"date-parts":[["2019","3","13"]]},"page":"180014","publisher":"Radiological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mendeley":{"formattedCitation":"&lt;sup&gt;4&lt;/sup&gt;","plainTextFormattedCitation":"4","previouslyFormattedCitation":"&lt;sup&gt;4&lt;/sup&gt;"},"properties":{"noteIndex":0},"schema":"https://github.com/citation-style-language/schema/raw/master/csl-citation.json"}</w:instrText>
            </w:r>
            <w:r w:rsidRPr="00D055C7">
              <w:rPr>
                <w:rFonts w:ascii="Arial" w:eastAsia="Times New Roman" w:hAnsi="Arial" w:cs="Arial"/>
                <w:color w:val="000000"/>
                <w:sz w:val="16"/>
                <w:szCs w:val="16"/>
              </w:rPr>
              <w:fldChar w:fldCharType="separate"/>
            </w:r>
            <w:r w:rsidRPr="00D055C7">
              <w:rPr>
                <w:rFonts w:ascii="Arial" w:eastAsia="Times New Roman" w:hAnsi="Arial" w:cs="Arial"/>
                <w:noProof/>
                <w:color w:val="000000"/>
                <w:sz w:val="16"/>
                <w:szCs w:val="16"/>
                <w:vertAlign w:val="superscript"/>
              </w:rPr>
              <w:t>4</w:t>
            </w:r>
            <w:r w:rsidRPr="00D055C7">
              <w:rPr>
                <w:rFonts w:ascii="Arial" w:eastAsia="Times New Roman" w:hAnsi="Arial" w:cs="Arial"/>
                <w:color w:val="000000"/>
                <w:sz w:val="16"/>
                <w:szCs w:val="16"/>
              </w:rPr>
              <w:fldChar w:fldCharType="end"/>
            </w:r>
          </w:p>
        </w:tc>
        <w:tc>
          <w:tcPr>
            <w:tcW w:w="1620" w:type="dxa"/>
            <w:vMerge w:val="restart"/>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FCN</w:t>
            </w:r>
          </w:p>
        </w:tc>
        <w:tc>
          <w:tcPr>
            <w:tcW w:w="2520" w:type="dxa"/>
            <w:shd w:val="clear" w:color="auto" w:fill="auto"/>
            <w:noWrap/>
            <w:vAlign w:val="center"/>
            <w:hideMark/>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&lt; 10 mm</w:t>
            </w:r>
          </w:p>
        </w:tc>
        <w:tc>
          <w:tcPr>
            <w:tcW w:w="1440" w:type="dxa"/>
            <w:shd w:val="clear" w:color="auto" w:fill="auto"/>
            <w:noWrap/>
            <w:vAlign w:val="center"/>
            <w:hideMark/>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30</w:t>
            </w:r>
          </w:p>
        </w:tc>
        <w:tc>
          <w:tcPr>
            <w:tcW w:w="1170" w:type="dxa"/>
            <w:shd w:val="clear" w:color="auto" w:fill="00B050"/>
            <w:noWrap/>
            <w:vAlign w:val="center"/>
            <w:hideMark/>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0.14</w:t>
            </w:r>
          </w:p>
        </w:tc>
        <w:tc>
          <w:tcPr>
            <w:tcW w:w="1170" w:type="dxa"/>
            <w:shd w:val="clear" w:color="auto" w:fill="00B050"/>
            <w:vAlign w:val="center"/>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10%</w:t>
            </w:r>
          </w:p>
        </w:tc>
      </w:tr>
      <w:tr w:rsidR="0098632E" w:rsidRPr="00427F10" w:rsidTr="00C5708D">
        <w:trPr>
          <w:trHeight w:val="20"/>
          <w:jc w:val="center"/>
        </w:trPr>
        <w:tc>
          <w:tcPr>
            <w:tcW w:w="1530" w:type="dxa"/>
            <w:vMerge/>
            <w:vAlign w:val="center"/>
            <w:hideMark/>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p>
        </w:tc>
        <w:tc>
          <w:tcPr>
            <w:tcW w:w="1620" w:type="dxa"/>
            <w:vMerge/>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p>
        </w:tc>
        <w:tc>
          <w:tcPr>
            <w:tcW w:w="2520" w:type="dxa"/>
            <w:shd w:val="clear" w:color="auto" w:fill="auto"/>
            <w:noWrap/>
            <w:vAlign w:val="center"/>
            <w:hideMark/>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10-20 mm</w:t>
            </w:r>
          </w:p>
        </w:tc>
        <w:tc>
          <w:tcPr>
            <w:tcW w:w="1440" w:type="dxa"/>
            <w:shd w:val="clear" w:color="auto" w:fill="auto"/>
            <w:noWrap/>
            <w:vAlign w:val="center"/>
            <w:hideMark/>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n = 35</w:t>
            </w:r>
          </w:p>
        </w:tc>
        <w:tc>
          <w:tcPr>
            <w:tcW w:w="1170" w:type="dxa"/>
            <w:shd w:val="clear" w:color="auto" w:fill="00B050"/>
            <w:noWrap/>
            <w:vAlign w:val="center"/>
            <w:hideMark/>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0.53</w:t>
            </w:r>
          </w:p>
        </w:tc>
        <w:tc>
          <w:tcPr>
            <w:tcW w:w="1170" w:type="dxa"/>
            <w:shd w:val="clear" w:color="auto" w:fill="00B050"/>
            <w:vAlign w:val="center"/>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71%</w:t>
            </w:r>
          </w:p>
        </w:tc>
      </w:tr>
      <w:tr w:rsidR="0098632E" w:rsidRPr="00427F10" w:rsidTr="00C5708D">
        <w:trPr>
          <w:trHeight w:val="20"/>
          <w:jc w:val="center"/>
        </w:trPr>
        <w:tc>
          <w:tcPr>
            <w:tcW w:w="1530" w:type="dxa"/>
            <w:vMerge/>
            <w:vAlign w:val="center"/>
            <w:hideMark/>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p>
        </w:tc>
        <w:tc>
          <w:tcPr>
            <w:tcW w:w="1620" w:type="dxa"/>
            <w:vMerge/>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p>
        </w:tc>
        <w:tc>
          <w:tcPr>
            <w:tcW w:w="2520" w:type="dxa"/>
            <w:shd w:val="clear" w:color="auto" w:fill="auto"/>
            <w:noWrap/>
            <w:vAlign w:val="center"/>
            <w:hideMark/>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&gt; 20 mm</w:t>
            </w:r>
          </w:p>
        </w:tc>
        <w:tc>
          <w:tcPr>
            <w:tcW w:w="1440" w:type="dxa"/>
            <w:shd w:val="clear" w:color="auto" w:fill="00B050"/>
            <w:noWrap/>
            <w:vAlign w:val="center"/>
            <w:hideMark/>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40</w:t>
            </w:r>
          </w:p>
        </w:tc>
        <w:tc>
          <w:tcPr>
            <w:tcW w:w="1170" w:type="dxa"/>
            <w:shd w:val="clear" w:color="auto" w:fill="auto"/>
            <w:noWrap/>
            <w:vAlign w:val="center"/>
            <w:hideMark/>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0.68</w:t>
            </w:r>
          </w:p>
        </w:tc>
        <w:tc>
          <w:tcPr>
            <w:tcW w:w="1170" w:type="dxa"/>
            <w:vAlign w:val="center"/>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85%</w:t>
            </w:r>
          </w:p>
        </w:tc>
      </w:tr>
      <w:tr w:rsidR="0098632E" w:rsidRPr="00427F10" w:rsidTr="00C5708D">
        <w:trPr>
          <w:trHeight w:val="20"/>
          <w:jc w:val="center"/>
        </w:trPr>
        <w:tc>
          <w:tcPr>
            <w:tcW w:w="1530" w:type="dxa"/>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Li et al</w:t>
            </w:r>
            <w:r w:rsidRPr="00D055C7">
              <w:rPr>
                <w:rFonts w:ascii="Arial" w:eastAsia="Times New Roman" w:hAnsi="Arial" w:cs="Arial"/>
                <w:color w:val="000000"/>
                <w:sz w:val="16"/>
                <w:szCs w:val="16"/>
              </w:rPr>
              <w:fldChar w:fldCharType="begin" w:fldLock="1"/>
            </w:r>
            <w:r w:rsidRPr="00D055C7">
              <w:rPr>
                <w:rFonts w:ascii="Arial" w:eastAsia="Times New Roman" w:hAnsi="Arial" w:cs="Arial"/>
                <w:color w:val="000000"/>
                <w:sz w:val="16"/>
                <w:szCs w:val="16"/>
              </w:rPr>
              <w:instrText>ADDIN CSL_CITATION {"citationItems":[{"id":"ITEM-1","itemData":{"DOI":"10.1109/TMI.2018.2845918","ISSN":"0278-0062","PMID":"29994201","abstract":"Liver cancer is one of the leading causes of cancer death. To assist doctors in hepatocellular carcinoma diagnosis and treatment planning, an accurate and automatic liver and tumor segmentation method is highly demanded in the clinical practice. Recently, fully convolutional neural networks (FCNs), including 2D and 3D FCNs, serve as the back-bone in many volumetric image segmentation. However, 2D convolutions can not fully leverage the spatial information along the third dimension while 3D convolutions suffer from high computational cost and GPU memory consumption. To address these issues, we propose a novel hybrid densely connected UNet (H-DenseUNet), which consists of a 2D DenseUNet for efficiently extracting intra-slice features and a 3D counterpart for hierarchically aggregating volumetric contexts under the spirit of the auto-context algorithm for liver and tumor segmentation. We formulate the learning process of H-DenseUNet in an end-to-end manner, where the intra-slice representations and inter-slice features can be jointly optimized through a hybrid feature fusion (HFF) layer. We extensively evaluated our method on the dataset of MICCAI 2017 Liver Tumor Segmentation (LiTS) Challenge and 3DIRCADb Dataset. Our method outperformed other state-of-the-arts on the segmentation results of tumors and achieved very competitive performance for liver segmentation even with a single model.","author":[{"dropping-particle":"","family":"Li","given":"Xiaomeng","non-dropping-particle":"","parse-names":false,"suffix":""},{"dropping-particle":"","family":"Chen","given":"Hao","non-dropping-particle":"","parse-names":false,"suffix":""},{"dropping-particle":"","family":"Qi","given":"Xiaojuan","non-dropping-particle":"","parse-names":false,"suffix":""},{"dropping-particle":"","family":"Dou","given":"Qi","non-dropping-particle":"","parse-names":false,"suffix":""},{"dropping-particle":"","family":"Fu","given":"Chi-Wing","non-dropping-particle":"","parse-names":false,"suffix":""},{"dropping-particle":"","family":"Heng","given":"Pheng-Ann","non-dropping-particle":"","parse-names":false,"suffix":""}],"container-title":"IEEE Transactions on Medical Imaging","id":"ITEM-1","issued":{"date-parts":[["2018","6","11"]]},"page":"1-1","title":"H-DenseUNet: Hybrid Densely Connected UNet for Liver and Tumor Segmentation from CT Volumes","type":"article-journal"},"uris":["http://www.mendeley.com/documents/?uuid=fb3bfcd1-0396-3f63-8ace-be0f98a0872f"]}],"mendeley":{"formattedCitation":"&lt;sup&gt;10&lt;/sup&gt;","plainTextFormattedCitation":"10","previouslyFormattedCitation":"&lt;sup&gt;10&lt;/sup&gt;"},"properties":{"noteIndex":0},"schema":"https://github.com/citation-style-language/schema/raw/master/csl-citation.json"}</w:instrText>
            </w:r>
            <w:r w:rsidRPr="00D055C7">
              <w:rPr>
                <w:rFonts w:ascii="Arial" w:eastAsia="Times New Roman" w:hAnsi="Arial" w:cs="Arial"/>
                <w:color w:val="000000"/>
                <w:sz w:val="16"/>
                <w:szCs w:val="16"/>
              </w:rPr>
              <w:fldChar w:fldCharType="separate"/>
            </w:r>
            <w:r w:rsidRPr="00D055C7">
              <w:rPr>
                <w:rFonts w:ascii="Arial" w:eastAsia="Times New Roman" w:hAnsi="Arial" w:cs="Arial"/>
                <w:noProof/>
                <w:color w:val="000000"/>
                <w:sz w:val="16"/>
                <w:szCs w:val="16"/>
                <w:vertAlign w:val="superscript"/>
              </w:rPr>
              <w:t>10</w:t>
            </w:r>
            <w:r w:rsidRPr="00D055C7">
              <w:rPr>
                <w:rFonts w:ascii="Arial" w:eastAsia="Times New Roman" w:hAnsi="Arial" w:cs="Arial"/>
                <w:color w:val="000000"/>
                <w:sz w:val="16"/>
                <w:szCs w:val="16"/>
              </w:rPr>
              <w:fldChar w:fldCharType="end"/>
            </w:r>
          </w:p>
        </w:tc>
        <w:tc>
          <w:tcPr>
            <w:tcW w:w="1620" w:type="dxa"/>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 xml:space="preserve">Hybrid Dense </w:t>
            </w:r>
            <w:proofErr w:type="spellStart"/>
            <w:r w:rsidRPr="00D055C7">
              <w:rPr>
                <w:rFonts w:ascii="Arial" w:eastAsia="Times New Roman" w:hAnsi="Arial" w:cs="Arial"/>
                <w:color w:val="000000"/>
                <w:sz w:val="16"/>
                <w:szCs w:val="16"/>
              </w:rPr>
              <w:t>UNet</w:t>
            </w:r>
            <w:proofErr w:type="spellEnd"/>
          </w:p>
        </w:tc>
        <w:tc>
          <w:tcPr>
            <w:tcW w:w="2520" w:type="dxa"/>
            <w:shd w:val="clear" w:color="auto" w:fill="auto"/>
            <w:noWrap/>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proofErr w:type="spellStart"/>
            <w:r w:rsidRPr="00D055C7">
              <w:rPr>
                <w:rFonts w:ascii="Arial" w:eastAsia="Times New Roman" w:hAnsi="Arial" w:cs="Arial"/>
                <w:color w:val="000000"/>
                <w:sz w:val="16"/>
                <w:szCs w:val="16"/>
              </w:rPr>
              <w:t>LiTS</w:t>
            </w:r>
            <w:proofErr w:type="spellEnd"/>
            <w:r w:rsidRPr="00D055C7">
              <w:rPr>
                <w:rFonts w:ascii="Arial" w:eastAsia="Times New Roman" w:hAnsi="Arial" w:cs="Arial"/>
                <w:color w:val="000000"/>
                <w:sz w:val="16"/>
                <w:szCs w:val="16"/>
              </w:rPr>
              <w:t xml:space="preserve"> </w:t>
            </w:r>
          </w:p>
        </w:tc>
        <w:tc>
          <w:tcPr>
            <w:tcW w:w="1440" w:type="dxa"/>
            <w:shd w:val="clear" w:color="auto" w:fill="auto"/>
            <w:noWrap/>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72 patients</w:t>
            </w:r>
          </w:p>
        </w:tc>
        <w:tc>
          <w:tcPr>
            <w:tcW w:w="1170" w:type="dxa"/>
            <w:shd w:val="clear" w:color="auto" w:fill="00B050"/>
            <w:noWrap/>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0.824 global</w:t>
            </w:r>
          </w:p>
        </w:tc>
        <w:tc>
          <w:tcPr>
            <w:tcW w:w="1170" w:type="dxa"/>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w:t>
            </w:r>
          </w:p>
        </w:tc>
      </w:tr>
      <w:tr w:rsidR="0098632E" w:rsidRPr="00427F10" w:rsidTr="00C5708D">
        <w:trPr>
          <w:trHeight w:val="20"/>
          <w:jc w:val="center"/>
        </w:trPr>
        <w:tc>
          <w:tcPr>
            <w:tcW w:w="1530" w:type="dxa"/>
            <w:tcBorders>
              <w:bottom w:val="single" w:sz="4" w:space="0" w:color="auto"/>
            </w:tcBorders>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proofErr w:type="spellStart"/>
            <w:r w:rsidRPr="00D055C7">
              <w:rPr>
                <w:rFonts w:ascii="Arial" w:eastAsia="Times New Roman" w:hAnsi="Arial" w:cs="Arial"/>
                <w:color w:val="000000"/>
                <w:sz w:val="16"/>
                <w:szCs w:val="16"/>
              </w:rPr>
              <w:t>Seo</w:t>
            </w:r>
            <w:proofErr w:type="spellEnd"/>
            <w:r w:rsidRPr="00D055C7">
              <w:rPr>
                <w:rFonts w:ascii="Arial" w:eastAsia="Times New Roman" w:hAnsi="Arial" w:cs="Arial"/>
                <w:color w:val="000000"/>
                <w:sz w:val="16"/>
                <w:szCs w:val="16"/>
              </w:rPr>
              <w:t xml:space="preserve"> et al</w:t>
            </w:r>
            <w:r w:rsidRPr="00D055C7">
              <w:rPr>
                <w:rFonts w:ascii="Arial" w:eastAsia="Times New Roman" w:hAnsi="Arial" w:cs="Arial"/>
                <w:color w:val="000000"/>
                <w:sz w:val="16"/>
                <w:szCs w:val="16"/>
              </w:rPr>
              <w:fldChar w:fldCharType="begin" w:fldLock="1"/>
            </w:r>
            <w:r w:rsidRPr="00D055C7">
              <w:rPr>
                <w:rFonts w:ascii="Arial" w:eastAsia="Times New Roman" w:hAnsi="Arial" w:cs="Arial"/>
                <w:color w:val="000000"/>
                <w:sz w:val="16"/>
                <w:szCs w:val="16"/>
              </w:rPr>
              <w:instrText>ADDIN CSL_CITATION {"citationItems":[{"id":"ITEM-1","itemData":{"DOI":"10.1109/TMI.2019.2948320","ISSN":"1558254X","PMID":"31634827","abstract":"Segmentation of livers and liver tumors is one of the most important steps in radiation therapy of hepatocellular carcinoma. The segmentation task is often done manually, making it tedious, labor intensive, and subject to intra-/inter- operator variations. While various algorithms for delineating organ-at-risks (OARs) and tumor targets have been proposed, automatic segmentation of livers and liver tumors remains intractable due to their low tissue contrast with respect to the surrounding organs and their deformable shape in CT images. The U-Net has gained increasing popularity recently for image analysis tasks and has shown promising results. Conventional U-Net architectures, however, suffer from three major drawbacks. First, skip connections allow for the duplicated transfer of low resolution information in feature maps to improve efficiency in learning, but this often leads to blurring of extracted image features. Secondly, high level features extracted by the network often do not contain enough high resolution edge information of the input, leading to greater uncertainty where high resolution edge dominantly affects the network's decisions such as liver and liver-tumor segmentation. Thirdly, it is generally difficult to optimize the number of pooling operations in order to extract high level global features, since the number of pooling operations used depends on the object size. To cope with these problems, we added a residual path with deconvolution and activation operations to the skip connection of the U-Net to avoid duplication of low resolution information of features. In the case of small object inputs, features in the skip connection are not incorporated with features in the residual path. Furthermore, the proposed architecture has additional convolution layers in the skip connection in order to extract high level global features of small object inputs as well as high level features of high resolution edge information of large object inputs. Efficacy of the modified U-Net (mU-Net) was demonstrated using the public dataset of Liver tumor segmentation (LiTS) challenge 2017. For liver-tumor segmentation, Dice similarity coefficient (DSC) of 89.72 %, volume of error (VOE) of 21.93 %, and relative volume difference (RVD) of - 0.49 % were obtained. For liver segmentation, DSC of 98.51 %, VOE of 3.07 %, and RVD of 0.26 % were calculated. For the public 3D Image Reconstruction for Comparison of Algorithm Database (3Dircadb), DSCs were 96.01 % for the …","author":[{"dropping-particle":"","family":"Seo","given":"Hyunseok","non-dropping-particle":"","parse-names":false,"suffix":""},{"dropping-particle":"","family":"Huang","given":"Charles","non-dropping-particle":"","parse-names":false,"suffix":""},{"dropping-particle":"","family":"Bassenne","given":"Maxime","non-dropping-particle":"","parse-names":false,"suffix":""},{"dropping-particle":"","family":"Xiao","given":"Ruoxiu","non-dropping-particle":"","parse-names":false,"suffix":""},{"dropping-particle":"","family":"Xing","given":"Lei","non-dropping-particle":"","parse-names":false,"suffix":""}],"container-title":"IEEE Transactions on Medical Imaging","id":"ITEM-1","issue":"5","issued":{"date-parts":[["2020","5","1"]]},"page":"1316-1325","publisher":"Institute of Electrical and Electronics Engineers Inc.","title":"Modified U-Net (mU-Net) with Incorporation of Object-Dependent High Level Features for Improved Liver and Liver-Tumor Segmentation in CT Images","type":"article-journal","volume":"39"},"uris":["http://www.mendeley.com/documents/?uuid=d24a576b-75f3-3153-a8d9-3e1cc6251174"]}],"mendeley":{"formattedCitation":"&lt;sup&gt;16&lt;/sup&gt;","plainTextFormattedCitation":"16","previouslyFormattedCitation":"&lt;sup&gt;16&lt;/sup&gt;"},"properties":{"noteIndex":0},"schema":"https://github.com/citation-style-language/schema/raw/master/csl-citation.json"}</w:instrText>
            </w:r>
            <w:r w:rsidRPr="00D055C7">
              <w:rPr>
                <w:rFonts w:ascii="Arial" w:eastAsia="Times New Roman" w:hAnsi="Arial" w:cs="Arial"/>
                <w:color w:val="000000"/>
                <w:sz w:val="16"/>
                <w:szCs w:val="16"/>
              </w:rPr>
              <w:fldChar w:fldCharType="separate"/>
            </w:r>
            <w:r w:rsidRPr="00D055C7">
              <w:rPr>
                <w:rFonts w:ascii="Arial" w:eastAsia="Times New Roman" w:hAnsi="Arial" w:cs="Arial"/>
                <w:noProof/>
                <w:color w:val="000000"/>
                <w:sz w:val="16"/>
                <w:szCs w:val="16"/>
                <w:vertAlign w:val="superscript"/>
              </w:rPr>
              <w:t>16</w:t>
            </w:r>
            <w:r w:rsidRPr="00D055C7">
              <w:rPr>
                <w:rFonts w:ascii="Arial" w:eastAsia="Times New Roman" w:hAnsi="Arial" w:cs="Arial"/>
                <w:color w:val="000000"/>
                <w:sz w:val="16"/>
                <w:szCs w:val="16"/>
              </w:rPr>
              <w:fldChar w:fldCharType="end"/>
            </w:r>
          </w:p>
        </w:tc>
        <w:tc>
          <w:tcPr>
            <w:tcW w:w="1620" w:type="dxa"/>
            <w:tcBorders>
              <w:bottom w:val="single" w:sz="4" w:space="0" w:color="auto"/>
            </w:tcBorders>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proofErr w:type="spellStart"/>
            <w:r w:rsidRPr="00D055C7">
              <w:rPr>
                <w:rFonts w:ascii="Arial" w:eastAsia="Times New Roman" w:hAnsi="Arial" w:cs="Arial"/>
                <w:color w:val="000000"/>
                <w:sz w:val="16"/>
                <w:szCs w:val="16"/>
              </w:rPr>
              <w:t>mU</w:t>
            </w:r>
            <w:proofErr w:type="spellEnd"/>
            <w:r w:rsidRPr="00D055C7">
              <w:rPr>
                <w:rFonts w:ascii="Arial" w:eastAsia="Times New Roman" w:hAnsi="Arial" w:cs="Arial"/>
                <w:color w:val="000000"/>
                <w:sz w:val="16"/>
                <w:szCs w:val="16"/>
              </w:rPr>
              <w:t>-Net</w:t>
            </w:r>
          </w:p>
        </w:tc>
        <w:tc>
          <w:tcPr>
            <w:tcW w:w="2520" w:type="dxa"/>
            <w:tcBorders>
              <w:bottom w:val="single" w:sz="4" w:space="0" w:color="auto"/>
            </w:tcBorders>
            <w:shd w:val="clear" w:color="auto" w:fill="auto"/>
            <w:noWrap/>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3D</w:t>
            </w:r>
            <w:r>
              <w:rPr>
                <w:rFonts w:ascii="Arial" w:eastAsia="Times New Roman" w:hAnsi="Arial" w:cs="Arial"/>
                <w:color w:val="000000"/>
                <w:sz w:val="16"/>
                <w:szCs w:val="16"/>
              </w:rPr>
              <w:t>-</w:t>
            </w:r>
            <w:r w:rsidRPr="00D055C7">
              <w:rPr>
                <w:rFonts w:ascii="Arial" w:eastAsia="Times New Roman" w:hAnsi="Arial" w:cs="Arial"/>
                <w:color w:val="000000"/>
                <w:sz w:val="16"/>
                <w:szCs w:val="16"/>
              </w:rPr>
              <w:t>IRCADb</w:t>
            </w:r>
          </w:p>
        </w:tc>
        <w:tc>
          <w:tcPr>
            <w:tcW w:w="1440" w:type="dxa"/>
            <w:tcBorders>
              <w:bottom w:val="single" w:sz="4" w:space="0" w:color="auto"/>
            </w:tcBorders>
            <w:shd w:val="clear" w:color="auto" w:fill="auto"/>
            <w:noWrap/>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5 patients</w:t>
            </w:r>
          </w:p>
        </w:tc>
        <w:tc>
          <w:tcPr>
            <w:tcW w:w="1170" w:type="dxa"/>
            <w:tcBorders>
              <w:bottom w:val="single" w:sz="4" w:space="0" w:color="auto"/>
            </w:tcBorders>
            <w:shd w:val="clear" w:color="auto" w:fill="auto"/>
            <w:noWrap/>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0.68</w:t>
            </w:r>
          </w:p>
        </w:tc>
        <w:tc>
          <w:tcPr>
            <w:tcW w:w="1170" w:type="dxa"/>
            <w:tcBorders>
              <w:bottom w:val="single" w:sz="4" w:space="0" w:color="auto"/>
            </w:tcBorders>
          </w:tcPr>
          <w:p w:rsidR="0098632E" w:rsidRPr="00D055C7" w:rsidRDefault="0098632E" w:rsidP="00C5708D">
            <w:pPr>
              <w:keepNext/>
              <w:keepLines/>
              <w:spacing w:after="0" w:line="240" w:lineRule="auto"/>
              <w:contextualSpacing/>
              <w:rPr>
                <w:rFonts w:ascii="Arial" w:eastAsia="Times New Roman" w:hAnsi="Arial" w:cs="Arial"/>
                <w:color w:val="000000"/>
                <w:sz w:val="16"/>
                <w:szCs w:val="16"/>
              </w:rPr>
            </w:pPr>
            <w:r w:rsidRPr="00D055C7">
              <w:rPr>
                <w:rFonts w:ascii="Arial" w:eastAsia="Times New Roman" w:hAnsi="Arial" w:cs="Arial"/>
                <w:color w:val="000000"/>
                <w:sz w:val="16"/>
                <w:szCs w:val="16"/>
              </w:rPr>
              <w:t>-</w:t>
            </w:r>
          </w:p>
        </w:tc>
      </w:tr>
    </w:tbl>
    <w:p w:rsidR="0098632E" w:rsidRPr="00D055C7" w:rsidRDefault="0098632E" w:rsidP="0098632E">
      <w:pPr>
        <w:spacing w:after="0" w:line="240" w:lineRule="auto"/>
        <w:contextualSpacing/>
        <w:rPr>
          <w:rFonts w:ascii="Arial" w:hAnsi="Arial" w:cs="Arial"/>
          <w:sz w:val="16"/>
          <w:szCs w:val="16"/>
        </w:rPr>
      </w:pPr>
      <w:r w:rsidRPr="00D055C7">
        <w:rPr>
          <w:rFonts w:ascii="Arial" w:hAnsi="Arial" w:cs="Arial"/>
          <w:sz w:val="16"/>
          <w:szCs w:val="16"/>
        </w:rPr>
        <w:t xml:space="preserve">Patients </w:t>
      </w:r>
      <w:proofErr w:type="gramStart"/>
      <w:r w:rsidRPr="00D055C7">
        <w:rPr>
          <w:rFonts w:ascii="Arial" w:hAnsi="Arial" w:cs="Arial"/>
          <w:sz w:val="16"/>
          <w:szCs w:val="16"/>
        </w:rPr>
        <w:t>were specified</w:t>
      </w:r>
      <w:proofErr w:type="gramEnd"/>
      <w:r w:rsidRPr="00D055C7">
        <w:rPr>
          <w:rFonts w:ascii="Arial" w:hAnsi="Arial" w:cs="Arial"/>
          <w:sz w:val="16"/>
          <w:szCs w:val="16"/>
        </w:rPr>
        <w:t xml:space="preserve"> instead of sites for </w:t>
      </w:r>
      <w:proofErr w:type="spellStart"/>
      <w:r w:rsidRPr="00D055C7">
        <w:rPr>
          <w:rFonts w:ascii="Arial" w:hAnsi="Arial" w:cs="Arial"/>
          <w:sz w:val="16"/>
          <w:szCs w:val="16"/>
        </w:rPr>
        <w:t>LiTS</w:t>
      </w:r>
      <w:proofErr w:type="spellEnd"/>
      <w:r w:rsidRPr="00D055C7">
        <w:rPr>
          <w:rFonts w:ascii="Arial" w:hAnsi="Arial" w:cs="Arial"/>
          <w:sz w:val="16"/>
          <w:szCs w:val="16"/>
        </w:rPr>
        <w:t xml:space="preserve"> test submission.</w:t>
      </w:r>
    </w:p>
    <w:p w:rsidR="003A57F9" w:rsidRDefault="0098632E">
      <w:bookmarkStart w:id="0" w:name="_GoBack"/>
      <w:bookmarkEnd w:id="0"/>
    </w:p>
    <w:sectPr w:rsidR="003A57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632E"/>
    <w:rsid w:val="004D7BB8"/>
    <w:rsid w:val="0098632E"/>
    <w:rsid w:val="00F72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9DDE5E-1E33-47C3-947C-14A8A347C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632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98632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1489</Words>
  <Characters>8489</Characters>
  <Application>Microsoft Office Word</Application>
  <DocSecurity>0</DocSecurity>
  <Lines>70</Lines>
  <Paragraphs>19</Paragraphs>
  <ScaleCrop>false</ScaleCrop>
  <Company>M. D. Anderson Cancer Center</Company>
  <LinksUpToDate>false</LinksUpToDate>
  <CharactersWithSpaces>9959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Anderson,Brian M</dc:creator>
  <cp:keywords/>
  <dc:description/>
  <cp:lastModifiedBy>Anderson,Brian M</cp:lastModifiedBy>
  <cp:revision>1</cp:revision>
  <dcterms:created xsi:type="dcterms:W3CDTF">2020-11-05T16:31:00Z</dcterms:created>
  <dcterms:modified xsi:type="dcterms:W3CDTF">2020-11-05T16:31:00Z</dcterms:modified>
</cp:coreProperties>
</file>