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89F6EB" w14:textId="77777777" w:rsidR="00EB762F" w:rsidRDefault="00EB762F">
      <w:pPr>
        <w:rPr>
          <w:rFonts w:cstheme="minorHAnsi"/>
          <w:b/>
          <w:shd w:val="clear" w:color="auto" w:fill="FFFFFF"/>
        </w:rPr>
      </w:pPr>
      <w:r>
        <w:rPr>
          <w:rFonts w:cstheme="minorHAnsi"/>
          <w:b/>
          <w:shd w:val="clear" w:color="auto" w:fill="FFFFFF"/>
        </w:rPr>
        <w:t>Reviewer 3</w:t>
      </w:r>
    </w:p>
    <w:p w14:paraId="2062A928" w14:textId="097B1F39" w:rsidR="00D14297" w:rsidRPr="00D14297" w:rsidRDefault="00D14297">
      <w:pPr>
        <w:rPr>
          <w:rFonts w:cstheme="minorHAnsi"/>
          <w:bCs/>
          <w:shd w:val="clear" w:color="auto" w:fill="FFFFFF"/>
        </w:rPr>
      </w:pPr>
      <w:r>
        <w:rPr>
          <w:rFonts w:cstheme="minorHAnsi"/>
          <w:bCs/>
          <w:shd w:val="clear" w:color="auto" w:fill="FFFFFF"/>
        </w:rPr>
        <w:t xml:space="preserve">For all responses, new text is </w:t>
      </w:r>
      <w:r w:rsidR="00867277">
        <w:rPr>
          <w:rFonts w:cstheme="minorHAnsi"/>
          <w:bCs/>
          <w:shd w:val="clear" w:color="auto" w:fill="FFFFFF"/>
        </w:rPr>
        <w:t>underlined</w:t>
      </w:r>
      <w:r>
        <w:rPr>
          <w:rFonts w:cstheme="minorHAnsi"/>
          <w:bCs/>
          <w:shd w:val="clear" w:color="auto" w:fill="FFFFFF"/>
        </w:rPr>
        <w:t>.</w:t>
      </w:r>
    </w:p>
    <w:p w14:paraId="2986AEE1" w14:textId="7D14C1FB" w:rsidR="00EB762F" w:rsidRDefault="00EB762F">
      <w:pPr>
        <w:rPr>
          <w:rFonts w:cstheme="minorHAnsi"/>
          <w:b/>
          <w:shd w:val="clear" w:color="auto" w:fill="FFFFFF"/>
        </w:rPr>
      </w:pPr>
      <w:r w:rsidRPr="00EB762F">
        <w:rPr>
          <w:rFonts w:cstheme="minorHAnsi"/>
          <w:b/>
          <w:shd w:val="clear" w:color="auto" w:fill="FFFFFF"/>
        </w:rPr>
        <w:t>1. Abstract, Methods and Results: The definition of the Likert Scale is not defined, so it is hard to follow the qualitative results presented.</w:t>
      </w:r>
    </w:p>
    <w:p w14:paraId="0E01BBF4" w14:textId="46D2EE7B" w:rsidR="00EB762F" w:rsidRDefault="00755609">
      <w:pPr>
        <w:rPr>
          <w:rFonts w:cstheme="minorHAnsi"/>
          <w:bCs/>
          <w:shd w:val="clear" w:color="auto" w:fill="FFFFFF"/>
        </w:rPr>
      </w:pPr>
      <w:r>
        <w:rPr>
          <w:rFonts w:cstheme="minorHAnsi"/>
          <w:bCs/>
          <w:shd w:val="clear" w:color="auto" w:fill="FFFFFF"/>
        </w:rPr>
        <w:t>Thank you for the comment, we have included a statement regarding the scoring, and provided a table showing the exact breakdown of the Likert scoring used in this work.</w:t>
      </w:r>
    </w:p>
    <w:p w14:paraId="2513C8DD" w14:textId="40344872" w:rsidR="00755609" w:rsidRPr="00755609" w:rsidRDefault="00755609" w:rsidP="00755609">
      <w:pPr>
        <w:ind w:left="720"/>
        <w:rPr>
          <w:rFonts w:cstheme="minorHAnsi"/>
          <w:bCs/>
          <w:i/>
          <w:iCs/>
          <w:shd w:val="clear" w:color="auto" w:fill="FFFFFF"/>
        </w:rPr>
      </w:pPr>
      <w:r w:rsidRPr="00755609">
        <w:rPr>
          <w:i/>
          <w:iCs/>
        </w:rPr>
        <w:t xml:space="preserve">The predicted CRLM and ablation contours were scored independently based on a Likert quality scale of 1-5. A breakdown of these scores can be found in Supplementary Table 1. </w:t>
      </w:r>
      <w:r w:rsidRPr="00867277">
        <w:rPr>
          <w:i/>
          <w:iCs/>
          <w:u w:val="single"/>
        </w:rPr>
        <w:t>A score of 4 is defined as requiring minor changes on less than four slices, or changes that would require less than 10 seconds to fix.</w:t>
      </w:r>
    </w:p>
    <w:p w14:paraId="1E4E6D66" w14:textId="24391CEB" w:rsidR="00755609" w:rsidRDefault="00755609" w:rsidP="007D022E">
      <w:pPr>
        <w:spacing w:after="0" w:line="240" w:lineRule="auto"/>
        <w:rPr>
          <w:rFonts w:eastAsia="Times New Roman" w:cstheme="minorHAnsi"/>
          <w:b/>
          <w:bCs/>
        </w:rPr>
      </w:pPr>
      <w:r w:rsidRPr="00755609">
        <w:rPr>
          <w:rFonts w:eastAsia="Times New Roman" w:cstheme="minorHAnsi"/>
          <w:b/>
          <w:bCs/>
        </w:rPr>
        <w:t>2. Introduction: The challenge of segmenting secondary liver disease in CECT compared to manuscripts focusing on primary liver disease should be explained in more detail and why novel methods considered in this manuscript can help with secondary liver disease such as CRLM should be stated clearly.</w:t>
      </w:r>
    </w:p>
    <w:p w14:paraId="3E1738CA" w14:textId="3FF04B1C" w:rsidR="009E769B" w:rsidRPr="009E769B" w:rsidRDefault="009E769B" w:rsidP="007D022E">
      <w:pPr>
        <w:spacing w:after="0" w:line="240" w:lineRule="auto"/>
        <w:rPr>
          <w:rFonts w:eastAsia="Times New Roman" w:cstheme="minorHAnsi"/>
        </w:rPr>
      </w:pPr>
      <w:r>
        <w:rPr>
          <w:rFonts w:eastAsia="Times New Roman" w:cstheme="minorHAnsi"/>
        </w:rPr>
        <w:t>Thank you for the comment, we have included the following statement elaborating on the differences between primary liver disease on contrast-enhanced CT vs CRLM. The associated references are listed below.</w:t>
      </w:r>
    </w:p>
    <w:p w14:paraId="78E5D472" w14:textId="6FDDAA20" w:rsidR="0069687C" w:rsidRPr="002B67A9" w:rsidRDefault="0069687C" w:rsidP="002B67A9">
      <w:pPr>
        <w:spacing w:after="0" w:line="240" w:lineRule="auto"/>
        <w:ind w:left="720"/>
        <w:rPr>
          <w:i/>
          <w:iCs/>
        </w:rPr>
      </w:pPr>
      <w:r w:rsidRPr="002B67A9">
        <w:rPr>
          <w:i/>
          <w:iCs/>
        </w:rPr>
        <w:t>To date, automated liver disease segmentation tasks have either largely focused on primary liver disease, or have not included qualitative evaluation of generated contours.</w:t>
      </w:r>
      <w:r w:rsidR="002B67A9">
        <w:rPr>
          <w:i/>
          <w:iCs/>
        </w:rPr>
        <w:t xml:space="preserve"> </w:t>
      </w:r>
      <w:r w:rsidR="002B67A9" w:rsidRPr="009E769B">
        <w:rPr>
          <w:i/>
          <w:iCs/>
          <w:u w:val="single"/>
        </w:rPr>
        <w:t>Furthermore, hepatocellular carcinomas tend to have enhancement during the arterial phase of a contrast-enhanced CT with a hypodense rim [ref</w:t>
      </w:r>
      <w:r w:rsidR="00EB0529">
        <w:rPr>
          <w:i/>
          <w:iCs/>
          <w:u w:val="single"/>
        </w:rPr>
        <w:t>1, ref2</w:t>
      </w:r>
      <w:r w:rsidR="002B67A9" w:rsidRPr="009E769B">
        <w:rPr>
          <w:i/>
          <w:iCs/>
          <w:u w:val="single"/>
        </w:rPr>
        <w:t xml:space="preserve">], while CRLM often show hyperenhancement </w:t>
      </w:r>
      <w:r w:rsidR="009E769B" w:rsidRPr="009E769B">
        <w:rPr>
          <w:i/>
          <w:iCs/>
          <w:u w:val="single"/>
        </w:rPr>
        <w:t>on the rim and a hypo enhancing center[ref</w:t>
      </w:r>
      <w:r w:rsidR="00EB0529">
        <w:rPr>
          <w:i/>
          <w:iCs/>
          <w:u w:val="single"/>
        </w:rPr>
        <w:t>3, ref4</w:t>
      </w:r>
      <w:r w:rsidR="009E769B" w:rsidRPr="009E769B">
        <w:rPr>
          <w:i/>
          <w:iCs/>
          <w:u w:val="single"/>
        </w:rPr>
        <w:t>].</w:t>
      </w:r>
    </w:p>
    <w:p w14:paraId="30606D9E" w14:textId="25D47720" w:rsidR="00B40000" w:rsidRDefault="00EB0529" w:rsidP="007D022E">
      <w:pPr>
        <w:spacing w:after="0" w:line="240" w:lineRule="auto"/>
        <w:rPr>
          <w:rFonts w:eastAsia="Times New Roman" w:cstheme="minorHAnsi"/>
        </w:rPr>
      </w:pPr>
      <w:r>
        <w:t xml:space="preserve">Ref1 </w:t>
      </w:r>
      <w:hyperlink r:id="rId4" w:history="1">
        <w:r w:rsidRPr="00654A33">
          <w:rPr>
            <w:rStyle w:val="Hyperlink"/>
            <w:rFonts w:eastAsia="Times New Roman" w:cstheme="minorHAnsi"/>
          </w:rPr>
          <w:t>https://www.ncbi.nlm.nih.gov/pmc/articles/PMC4284210/</w:t>
        </w:r>
      </w:hyperlink>
    </w:p>
    <w:p w14:paraId="62EAD6DF" w14:textId="19874265" w:rsidR="00EB0529" w:rsidRDefault="00EB0529" w:rsidP="007D022E">
      <w:pPr>
        <w:spacing w:after="0" w:line="240" w:lineRule="auto"/>
        <w:rPr>
          <w:rFonts w:eastAsia="Times New Roman" w:cstheme="minorHAnsi"/>
        </w:rPr>
      </w:pPr>
      <w:r>
        <w:rPr>
          <w:rFonts w:eastAsia="Times New Roman" w:cstheme="minorHAnsi"/>
        </w:rPr>
        <w:t xml:space="preserve">Ref2 </w:t>
      </w:r>
      <w:hyperlink r:id="rId5" w:history="1">
        <w:r>
          <w:rPr>
            <w:rStyle w:val="Hyperlink"/>
          </w:rPr>
          <w:t>https://www.ncbi.nlm.nih.gov/pmc/articles/PMC6677284/</w:t>
        </w:r>
      </w:hyperlink>
    </w:p>
    <w:p w14:paraId="0D9BAD91" w14:textId="448EA48A" w:rsidR="00B40000" w:rsidRDefault="00EB0529" w:rsidP="007D022E">
      <w:pPr>
        <w:spacing w:after="0" w:line="240" w:lineRule="auto"/>
        <w:rPr>
          <w:rFonts w:eastAsia="Times New Roman" w:cstheme="minorHAnsi"/>
        </w:rPr>
      </w:pPr>
      <w:r>
        <w:t xml:space="preserve">Ref3 </w:t>
      </w:r>
      <w:hyperlink r:id="rId6" w:history="1">
        <w:r w:rsidRPr="00654A33">
          <w:rPr>
            <w:rStyle w:val="Hyperlink"/>
            <w:rFonts w:eastAsia="Times New Roman" w:cstheme="minorHAnsi"/>
          </w:rPr>
          <w:t>https://www.ncbi.nlm.nih.gov/pmc/articles/PMC3237298/</w:t>
        </w:r>
      </w:hyperlink>
    </w:p>
    <w:p w14:paraId="2F4B19A5" w14:textId="37FF2DC8" w:rsidR="00DF0101" w:rsidRPr="00B40000" w:rsidRDefault="00DF0101" w:rsidP="007D022E">
      <w:pPr>
        <w:spacing w:after="0" w:line="240" w:lineRule="auto"/>
        <w:rPr>
          <w:rFonts w:eastAsia="Times New Roman" w:cstheme="minorHAnsi"/>
        </w:rPr>
      </w:pPr>
      <w:r>
        <w:rPr>
          <w:rFonts w:eastAsia="Times New Roman" w:cstheme="minorHAnsi"/>
        </w:rPr>
        <w:t xml:space="preserve">Ref4 </w:t>
      </w:r>
      <w:hyperlink r:id="rId7" w:history="1">
        <w:r>
          <w:rPr>
            <w:rStyle w:val="Hyperlink"/>
          </w:rPr>
          <w:t>https://www.mdpi.com/2072-6694/12/1/151</w:t>
        </w:r>
      </w:hyperlink>
    </w:p>
    <w:p w14:paraId="2316392E" w14:textId="039A20F0" w:rsidR="00755609" w:rsidRDefault="00755609" w:rsidP="007D022E">
      <w:pPr>
        <w:spacing w:after="0" w:line="240" w:lineRule="auto"/>
        <w:rPr>
          <w:rFonts w:eastAsia="Times New Roman" w:cstheme="minorHAnsi"/>
          <w:b/>
          <w:bCs/>
        </w:rPr>
      </w:pPr>
      <w:r w:rsidRPr="00755609">
        <w:rPr>
          <w:rFonts w:eastAsia="Times New Roman" w:cstheme="minorHAnsi"/>
          <w:b/>
          <w:bCs/>
        </w:rPr>
        <w:t>3. Methods page 2:</w:t>
      </w:r>
      <w:r w:rsidRPr="00755609">
        <w:rPr>
          <w:rFonts w:eastAsia="Times New Roman" w:cstheme="minorHAnsi"/>
          <w:b/>
          <w:bCs/>
        </w:rPr>
        <w:br/>
        <w:t>a. Why were cases with hyper-enhancing metastases, large cystic lesion and atypical enhancement patterns removed? Does this mean the models will not work for certain patients and those patients need to be identified manually?</w:t>
      </w:r>
    </w:p>
    <w:p w14:paraId="0C3CB08F" w14:textId="77777777" w:rsidR="00AA422E" w:rsidRDefault="00755609" w:rsidP="007D022E">
      <w:pPr>
        <w:spacing w:after="0" w:line="240" w:lineRule="auto"/>
        <w:rPr>
          <w:rFonts w:eastAsia="Times New Roman" w:cstheme="minorHAnsi"/>
        </w:rPr>
      </w:pPr>
      <w:r>
        <w:rPr>
          <w:rFonts w:eastAsia="Times New Roman" w:cstheme="minorHAnsi"/>
        </w:rPr>
        <w:t xml:space="preserve">The authors created this model specifically for use </w:t>
      </w:r>
      <w:r w:rsidR="000E16FC">
        <w:rPr>
          <w:rFonts w:eastAsia="Times New Roman" w:cstheme="minorHAnsi"/>
        </w:rPr>
        <w:t xml:space="preserve">of treating patients with colorectal liver metastasis, our work with interventional radiologists was to identify a cohort of patients most representative of the population which receives ablation therapy. We evaluated the models predictive abilities on a variety of patients seen in </w:t>
      </w:r>
      <w:r w:rsidR="00AA422E">
        <w:rPr>
          <w:rFonts w:eastAsia="Times New Roman" w:cstheme="minorHAnsi"/>
        </w:rPr>
        <w:t xml:space="preserve">our </w:t>
      </w:r>
      <w:r w:rsidR="000E16FC">
        <w:rPr>
          <w:rFonts w:eastAsia="Times New Roman" w:cstheme="minorHAnsi"/>
        </w:rPr>
        <w:t xml:space="preserve">clinic, </w:t>
      </w:r>
      <w:r w:rsidR="00AA422E">
        <w:rPr>
          <w:rFonts w:eastAsia="Times New Roman" w:cstheme="minorHAnsi"/>
        </w:rPr>
        <w:t>and on two publicly available datasets, with positive results, but it would be overstating to say the model will always work on all patients.</w:t>
      </w:r>
    </w:p>
    <w:p w14:paraId="3F6FC63F" w14:textId="77777777" w:rsidR="00AA422E" w:rsidRDefault="00755609" w:rsidP="007D022E">
      <w:pPr>
        <w:spacing w:after="0" w:line="240" w:lineRule="auto"/>
        <w:rPr>
          <w:rFonts w:eastAsia="Times New Roman" w:cstheme="minorHAnsi"/>
          <w:b/>
          <w:bCs/>
        </w:rPr>
      </w:pPr>
      <w:r w:rsidRPr="00755609">
        <w:rPr>
          <w:rFonts w:eastAsia="Times New Roman" w:cstheme="minorHAnsi"/>
          <w:b/>
          <w:bCs/>
        </w:rPr>
        <w:br/>
        <w:t>b. What kind of image acquisition parameters were critical? – why were patients excluded based on this criterion.</w:t>
      </w:r>
    </w:p>
    <w:p w14:paraId="3ED4251E" w14:textId="3F24B797" w:rsidR="00AA422E" w:rsidRDefault="00AA422E" w:rsidP="007D022E">
      <w:pPr>
        <w:spacing w:after="0" w:line="240" w:lineRule="auto"/>
        <w:rPr>
          <w:rFonts w:eastAsia="Times New Roman" w:cstheme="minorHAnsi"/>
        </w:rPr>
      </w:pPr>
      <w:r>
        <w:rPr>
          <w:rFonts w:eastAsia="Times New Roman" w:cstheme="minorHAnsi"/>
        </w:rPr>
        <w:t>Some of the publicly available data did not have slice thickness or pixel-spacing defined. These are necessary parameters for any resampling</w:t>
      </w:r>
      <w:r w:rsidR="00867277">
        <w:rPr>
          <w:rFonts w:eastAsia="Times New Roman" w:cstheme="minorHAnsi"/>
        </w:rPr>
        <w:t xml:space="preserve"> during the training process. Per Table 1, the slice thickness varied from 0.7-5mm</w:t>
      </w:r>
      <w:r w:rsidR="0094183C">
        <w:rPr>
          <w:rFonts w:eastAsia="Times New Roman" w:cstheme="minorHAnsi"/>
        </w:rPr>
        <w:t>, so presuming the values was not feasible.</w:t>
      </w:r>
    </w:p>
    <w:p w14:paraId="148D30A2" w14:textId="77777777" w:rsidR="00AA422E" w:rsidRDefault="00755609" w:rsidP="007D022E">
      <w:pPr>
        <w:spacing w:after="0" w:line="240" w:lineRule="auto"/>
        <w:rPr>
          <w:rFonts w:eastAsia="Times New Roman" w:cstheme="minorHAnsi"/>
          <w:b/>
          <w:bCs/>
        </w:rPr>
      </w:pPr>
      <w:r w:rsidRPr="00755609">
        <w:rPr>
          <w:rFonts w:eastAsia="Times New Roman" w:cstheme="minorHAnsi"/>
          <w:b/>
          <w:bCs/>
        </w:rPr>
        <w:br/>
        <w:t>c. Are the LiTS and 3D-IRCADb01 datasets distributed with predefined training and test splits? This is not clear.</w:t>
      </w:r>
    </w:p>
    <w:p w14:paraId="35559132" w14:textId="77777777" w:rsidR="00D14297" w:rsidRDefault="00AA422E" w:rsidP="007D022E">
      <w:pPr>
        <w:spacing w:after="0" w:line="240" w:lineRule="auto"/>
        <w:rPr>
          <w:rFonts w:eastAsia="Times New Roman" w:cstheme="minorHAnsi"/>
        </w:rPr>
      </w:pPr>
      <w:r>
        <w:rPr>
          <w:rFonts w:eastAsia="Times New Roman" w:cstheme="minorHAnsi"/>
        </w:rPr>
        <w:lastRenderedPageBreak/>
        <w:t>The LiTS challenge has a designated test split</w:t>
      </w:r>
      <w:r w:rsidR="00D14297">
        <w:rPr>
          <w:rFonts w:eastAsia="Times New Roman" w:cstheme="minorHAnsi"/>
        </w:rPr>
        <w:t>, where predictions must be submitted online, and the ground truth is never known. The 3D-IRCADb01 was never used for training, only for evaluation.</w:t>
      </w:r>
    </w:p>
    <w:p w14:paraId="32FEBA8D" w14:textId="77777777" w:rsidR="00D14297" w:rsidRDefault="00755609" w:rsidP="007D022E">
      <w:pPr>
        <w:spacing w:after="0" w:line="240" w:lineRule="auto"/>
        <w:rPr>
          <w:rFonts w:eastAsia="Times New Roman" w:cstheme="minorHAnsi"/>
          <w:b/>
          <w:bCs/>
        </w:rPr>
      </w:pPr>
      <w:r w:rsidRPr="00755609">
        <w:rPr>
          <w:rFonts w:eastAsia="Times New Roman" w:cstheme="minorHAnsi"/>
          <w:b/>
          <w:bCs/>
        </w:rPr>
        <w:br/>
        <w:t>d. What kind of image annotation was present in these datasets? Were they used as ground truth as is or reviewed?</w:t>
      </w:r>
    </w:p>
    <w:p w14:paraId="6E634B9B" w14:textId="238608AD" w:rsidR="00D14297" w:rsidRDefault="00D14297" w:rsidP="007D022E">
      <w:pPr>
        <w:spacing w:after="0" w:line="240" w:lineRule="auto"/>
        <w:rPr>
          <w:rFonts w:eastAsia="Times New Roman" w:cstheme="minorHAnsi"/>
        </w:rPr>
      </w:pPr>
      <w:r>
        <w:rPr>
          <w:rFonts w:eastAsia="Times New Roman" w:cstheme="minorHAnsi"/>
        </w:rPr>
        <w:t>Image annotation was provided in the form of a binary mask. These were used as a ground truth</w:t>
      </w:r>
      <w:r w:rsidR="00782397">
        <w:rPr>
          <w:rFonts w:eastAsia="Times New Roman" w:cstheme="minorHAnsi"/>
        </w:rPr>
        <w:t xml:space="preserve">, the LiTs challenges describes the creation of these ground truth segmentations as coming from </w:t>
      </w:r>
      <w:r w:rsidR="0028407D">
        <w:rPr>
          <w:rFonts w:eastAsia="Times New Roman" w:cstheme="minorHAnsi"/>
        </w:rPr>
        <w:t>manual segmentations by radiologists or oncologists.</w:t>
      </w:r>
    </w:p>
    <w:p w14:paraId="465472AF" w14:textId="77777777" w:rsidR="00D14297" w:rsidRDefault="00755609" w:rsidP="007D022E">
      <w:pPr>
        <w:spacing w:after="0" w:line="240" w:lineRule="auto"/>
        <w:rPr>
          <w:rFonts w:eastAsia="Times New Roman" w:cstheme="minorHAnsi"/>
          <w:b/>
          <w:bCs/>
        </w:rPr>
      </w:pPr>
      <w:r w:rsidRPr="00755609">
        <w:rPr>
          <w:rFonts w:eastAsia="Times New Roman" w:cstheme="minorHAnsi"/>
          <w:b/>
          <w:bCs/>
        </w:rPr>
        <w:br/>
        <w:t>e. In the abstract, local liver dataset of 18 patients was mentioned, but no description of this is provided in the methods.</w:t>
      </w:r>
    </w:p>
    <w:p w14:paraId="1119857F" w14:textId="77777777" w:rsidR="00D14297" w:rsidRPr="00D14297" w:rsidRDefault="00D14297" w:rsidP="00D14297">
      <w:pPr>
        <w:spacing w:after="0" w:line="240" w:lineRule="auto"/>
        <w:rPr>
          <w:rFonts w:eastAsia="Times New Roman" w:cstheme="minorHAnsi"/>
        </w:rPr>
      </w:pPr>
      <w:r w:rsidRPr="00D14297">
        <w:rPr>
          <w:rFonts w:eastAsia="Times New Roman" w:cstheme="minorHAnsi"/>
        </w:rPr>
        <w:t>Description of the 18 patients is provided in the ‘Qualitative Evaluation’ section</w:t>
      </w:r>
    </w:p>
    <w:p w14:paraId="2C4DD724" w14:textId="66F381BC" w:rsidR="00D14297" w:rsidRPr="00D14297" w:rsidRDefault="00D14297" w:rsidP="00D14297">
      <w:pPr>
        <w:ind w:left="720"/>
        <w:rPr>
          <w:i/>
          <w:iCs/>
        </w:rPr>
      </w:pPr>
      <w:r w:rsidRPr="00D14297">
        <w:rPr>
          <w:i/>
          <w:iCs/>
        </w:rPr>
        <w:t>We retrospectively identified 18 patients, who had previously undergone targeted thermal ablation therapy</w:t>
      </w:r>
      <w:r w:rsidR="0028407D">
        <w:rPr>
          <w:i/>
          <w:iCs/>
        </w:rPr>
        <w:t xml:space="preserve"> for colorectal liver metastases</w:t>
      </w:r>
      <w:r w:rsidRPr="00D14297">
        <w:rPr>
          <w:i/>
          <w:iCs/>
        </w:rPr>
        <w:t xml:space="preserve"> at our institution</w:t>
      </w:r>
      <w:r w:rsidR="00852A77">
        <w:rPr>
          <w:i/>
          <w:iCs/>
        </w:rPr>
        <w:t>, were retrospectively identified</w:t>
      </w:r>
      <w:r w:rsidRPr="00D14297">
        <w:rPr>
          <w:i/>
          <w:iCs/>
        </w:rPr>
        <w:t xml:space="preserve"> under an Institutional Review Board-approved study (IRB: 2019-0213); these patients had 24 CRLM sites and 19 ablation sites. </w:t>
      </w:r>
      <w:bookmarkStart w:id="0" w:name="_Hlk105767232"/>
      <w:r w:rsidRPr="00D14297">
        <w:rPr>
          <w:i/>
          <w:iCs/>
        </w:rPr>
        <w:t xml:space="preserve">The predicted CRLM and ablation contours were scored independently based on a Likert quality scale of 1-5. A breakdown of these scores can be found in Supplementary Table 1. </w:t>
      </w:r>
      <w:r w:rsidRPr="00867277">
        <w:rPr>
          <w:i/>
          <w:iCs/>
          <w:u w:val="single"/>
        </w:rPr>
        <w:t>A score of 4 is defined as requiring minor changes on less than four slices, or changes that would require less than 10 seconds to fix.</w:t>
      </w:r>
      <w:bookmarkEnd w:id="0"/>
    </w:p>
    <w:p w14:paraId="5C467BA7" w14:textId="333D2739" w:rsidR="00D14297" w:rsidRDefault="00755609" w:rsidP="007D022E">
      <w:pPr>
        <w:spacing w:after="0" w:line="240" w:lineRule="auto"/>
        <w:rPr>
          <w:rFonts w:eastAsia="Times New Roman" w:cstheme="minorHAnsi"/>
          <w:b/>
          <w:bCs/>
        </w:rPr>
      </w:pPr>
      <w:r w:rsidRPr="00755609">
        <w:rPr>
          <w:rFonts w:eastAsia="Times New Roman" w:cstheme="minorHAnsi"/>
          <w:b/>
          <w:bCs/>
        </w:rPr>
        <w:t>f. Are there no demographic information for the datasets used? What were their disease indications? How will you generalize this study to other populations/datasets without this information.</w:t>
      </w:r>
    </w:p>
    <w:p w14:paraId="6104A3DE" w14:textId="77777777" w:rsidR="007F24CB" w:rsidRDefault="007F24CB" w:rsidP="007D022E">
      <w:pPr>
        <w:spacing w:after="0" w:line="240" w:lineRule="auto"/>
        <w:rPr>
          <w:rFonts w:eastAsia="Times New Roman" w:cstheme="minorHAnsi"/>
        </w:rPr>
      </w:pPr>
      <w:r>
        <w:rPr>
          <w:rFonts w:eastAsia="Times New Roman" w:cstheme="minorHAnsi"/>
        </w:rPr>
        <w:t xml:space="preserve">Thank you for the comment, we have included a further reference to the LiTs paper that the data is collected from. </w:t>
      </w:r>
    </w:p>
    <w:p w14:paraId="0C436C13" w14:textId="111AB9D2" w:rsidR="007F24CB" w:rsidRPr="007F24CB" w:rsidRDefault="007F24CB" w:rsidP="007F24CB">
      <w:pPr>
        <w:spacing w:after="0" w:line="240" w:lineRule="auto"/>
        <w:ind w:left="720"/>
        <w:rPr>
          <w:rFonts w:eastAsia="Times New Roman" w:cstheme="minorHAnsi"/>
          <w:i/>
          <w:iCs/>
        </w:rPr>
      </w:pPr>
      <w:r w:rsidRPr="007F24CB">
        <w:rPr>
          <w:i/>
          <w:iCs/>
        </w:rPr>
        <w:t>To ensure reproducibility by other institutions, data provided by the publicly available LiTS challenge</w:t>
      </w:r>
      <w:r w:rsidRPr="007F24CB">
        <w:rPr>
          <w:i/>
          <w:iCs/>
        </w:rPr>
        <w:fldChar w:fldCharType="begin" w:fldLock="1"/>
      </w:r>
      <w:r w:rsidRPr="007F24CB">
        <w:rPr>
          <w:i/>
          <w:iCs/>
        </w:rPr>
        <w:instrText>ADDIN CSL_CITATION {"citationItems":[{"id":"ITEM-1","itemData":{"abstract":"In this work, we report the setup and results of the Liver Tumor Segmentation Benchmark (LiTS) organized in conjunction with the IEEE International Symposium on Biomedical Imaging (ISBI) 2017 and International Conference On Medical Image Computing &amp; Computer Assisted Intervention (MICCAI) 2017. Twenty-four valid state-of-the-art liver and liver tumor segmentation algorithms were applied to a set of 131 computed tomography (CT) volumes with different types of tumor contrast levels (hyper-/hypo-intense), abnormalities in tissues (metastasectomie) size and varying amount of lesions. The submitted algorithms have been tested on 70 undisclosed volumes. The dataset is created in collaboration with seven hospitals and research institutions and manually blind reviewed by independent three radiologists. We found that not a single algorithm performed best for liver and tumors. The best liver segmentation algorithm achieved a Dice score of 0.96(MICCAI) whereas for tumor segmentation the best algorithm evaluated at 0.67(ISBI) and 0.70(MICCAI). The LiTS image data and manual annotations continue to be publicly available through an online evaluation system as an ongoing benchmarking resource.","author":[{"dropping-particle":"","family":"Bilic","given":"Patrick","non-dropping-particle":"","parse-names":false,"suffix":""},{"dropping-particle":"","family":"Christ","given":"Patrick Ferdinand","non-dropping-particle":"","parse-names":false,"suffix":""},{"dropping-particle":"","family":"Vorontsov","given":"Eugene","non-dropping-particle":"","parse-names":false,"suffix":""},{"dropping-particle":"","family":"Chlebus","given":"Grzegorz","non-dropping-particle":"","parse-names":false,"suffix":""},{"dropping-particle":"","family":"Chen","given":"Hao","non-dropping-particle":"","parse-names":false,"suffix":""},{"dropping-particle":"","family":"Dou","given":"Qi","non-dropping-particle":"","parse-names":false,"suffix":""},{"dropping-particle":"","family":"Fu","given":"Chi-Wing","non-dropping-particle":"","parse-names":false,"suffix":""},{"dropping-particle":"","family":"Han","given":"Xiao","non-dropping-particle":"","parse-names":false,"suffix":""},{"dropping-particle":"","family":"Heng","given":"Pheng-Ann","non-dropping-particle":"","parse-names":false,"suffix":""},{"dropping-particle":"","family":"Hesser","given":"Jrgen","non-dropping-particle":"","parse-names":false,"suffix":""},{"dropping-particle":"","family":"Kadoury","given":"Samuel","non-dropping-particle":"","parse-names":false,"suffix":""},{"dropping-particle":"","family":"Kopczyski","given":"Tomasz","non-dropping-particle":"","parse-names":false,"suffix":""},{"dropping-particle":"","family":"Le","given":"Miao","non-dropping-particle":"","parse-names":false,"suffix":""},{"dropping-particle":"","family":"Li","given":"Chunming","non-dropping-particle":"","parse-names":false,"suffix":""},{"dropping-particle":"","family":"Li","given":"Xiaomeng","non-dropping-particle":"","parse-names":false,"suffix":""},{"dropping-particle":"","family":"Lipková","given":"Jana","non-dropping-particle":"","parse-names":false,"suffix":""},{"dropping-particle":"","family":"Lowengrub","given":"John","non-dropping-particle":"","parse-names":false,"suffix":""},{"dropping-particle":"","family":"Meine","given":"Hans","non-dropping-particle":"","parse-names":false,"suffix":""},{"dropping-particle":"","family":"Moltz","given":"Jan Hendrik","non-dropping-particle":"","parse-names":false,"suffix":""},{"dropping-particle":"","family":"Pal","given":"Chris","non-dropping-particle":"","parse-names":false,"suffix":""},{"dropping-particle":"","family":"Piraud","given":"Marie","non-dropping-particle":"","parse-names":false,"suffix":""},{"dropping-particle":"","family":"Qi","given":"Xiaojuan","non-dropping-particle":"","parse-names":false,"suffix":""},{"dropping-particle":"","family":"Qi","given":"Jin","non-dropping-particle":"","parse-names":false,"suffix":""},{"dropping-particle":"","family":"Rempfler","given":"Markus","non-dropping-particle":"","parse-names":false,"suffix":""},{"dropping-particle":"","family":"Roth","given":"Karsten","non-dropping-particle":"","parse-names":false,"suffix":""},{"dropping-particle":"","family":"Schenk","given":"Andrea","non-dropping-particle":"","parse-names":false,"suffix":""},{"dropping-particle":"","family":"Sekuboyina","given":"Anjany","non-dropping-particle":"","parse-names":false,"suffix":""},{"dropping-particle":"","family":"Zhou","given":"Ping","non-dropping-particle":"","parse-names":false,"suffix":""},{"dropping-particle":"","family":"Hülsemeyer","given":"Christian","non-dropping-particle":"","parse-names":false,"suffix":""},{"dropping-particle":"","family":"Beetz","given":"Marcel","non-dropping-particle":"","parse-names":false,"suffix":""},{"dropping-particle":"","family":"Ettlinger","given":"Florian","non-dropping-particle":"","parse-names":false,"suffix":""},{"dropping-particle":"","family":"Gruen","given":"Felix","non-dropping-particle":"","parse-names":false,"suffix":""},{"dropping-particle":"","family":"Kaissis","given":"Georgios","non-dropping-particle":"","parse-names":false,"suffix":""},{"dropping-particle":"","family":"Lohfer","given":"Fabian","non-dropping-particle":"","parse-names":false,"suffix":""},{"dropping-particle":"","family":"Braren","given":"Rickmer","non-dropping-particle":"","parse-names":false,"suffix":""},{"dropping-particle":"","family":"Holch","given":"Julian","non-dropping-particle":"","parse-names":false,"suffix":""},{"dropping-particle":"","family":"Hofmann","given":"Felix","non-dropping-particle":"","parse-names":false,"suffix":""},{"dropping-particle":"","family":"Sommer","given":"Wieland","non-dropping-particle":"","parse-names":false,"suffix":""},{"dropping-particle":"","family":"Heinemann","given":"Volker","non-dropping-particle":"","parse-names":false,"suffix":""},{"dropping-particle":"","family":"Jacobs","given":"Colin","non-dropping-particle":"","parse-names":false,"suffix":""},{"dropping-particle":"","family":"Efrain","given":"Gabriel","non-dropping-particle":"","parse-names":false,"suffix":""},{"dropping-particle":"","family":"Mamani","given":"Humpire","non-dropping-particle":"","parse-names":false,"suffix":""},{"dropping-particle":"","family":"Ginneken","given":"Bram","non-dropping-particle":"Van","parse-names":false,"suffix":""},{"dropping-particle":"","family":"Chartrand","given":"Gabriel","non-dropping-particle":"","parse-names":false,"suffix":""},{"dropping-particle":"","family":"Tang","given":"An","non-dropping-particle":"","parse-names":false,"suffix":""},{"dropping-particle":"","family":"Drozdzal","given":"Michal","non-dropping-particle":"","parse-names":false,"suffix":""},{"dropping-particle":"","family":"Ben-Cohen","given":"Avi","non-dropping-particle":"","parse-names":false,"suffix":""},{"dropping-particle":"","family":"Klang","given":"Eyal","non-dropping-particle":"","parse-names":false,"suffix":""},{"dropping-particle":"","family":"Amitai","given":"Marianne M","non-dropping-particle":"","parse-names":false,"suffix":""},{"dropping-particle":"","family":"Konen","given":"Eli","non-dropping-particle":"","parse-names":false,"suffix":""},{"dropping-particle":"","family":"Greenspan","given":"Hayit","non-dropping-particle":"","parse-names":false,"suffix":""},{"dropping-particle":"","family":"Moreau","given":"Johan","non-dropping-particle":"","parse-names":false,"suffix":""},{"dropping-particle":"","family":"Hostettler","given":"Alexandre","non-dropping-particle":"","parse-names":false,"suffix":""},{"dropping-particle":"","family":"Soler","given":"Luc","non-dropping-particle":"","parse-names":false,"suffix":""},{"dropping-particle":"","family":"Vivanti","given":"Refael","non-dropping-particle":"","parse-names":false,"suffix":""},{"dropping-particle":"","family":"Szeskin","given":"Adi","non-dropping-particle":"","parse-names":false,"suffix":""},{"dropping-particle":"","family":"Lev-Cohain","given":"Naama","non-dropping-particle":"","parse-names":false,"suffix":""},{"dropping-particle":"","family":"Sosna","given":"Jacob","non-dropping-particle":"","parse-names":false,"suffix":""},{"dropping-particle":"","family":"Joskowicz","given":"Leo","non-dropping-particle":"","parse-names":false,"suffix":""},{"dropping-particle":"","family":"Kumar","given":"Ashnil","non-dropping-particle":"","parse-names":false,"suffix":""},{"dropping-particle":"","family":"Kore","given":"Avinash","non-dropping-particle":"","parse-names":false,"suffix":""},{"dropping-particle":"","family":"Wang","given":"Chunliang","non-dropping-particle":"","parse-names":false,"suffix":""},{"dropping-particle":"","family":"Feng","given":"Dagan","non-dropping-particle":"","parse-names":false,"suffix":""},{"dropping-particle":"","family":"Li Aa","given":"Fan","non-dropping-particle":"","parse-names":false,"suffix":""},{"dropping-particle":"","family":"Krishnamurthi","given":"Ganapathy","non-dropping-particle":"","parse-names":false,"suffix":""},{"dropping-particle":"","family":"Wu Aa","given":"Jianrong","non-dropping-particle":"","parse-names":false,"suffix":""},{"dropping-particle":"","family":"Kim","given":"Jinman","non-dropping-particle":"","parse-names":false,"suffix":""},{"dropping-particle":"","family":"Zhou","given":"Jinyi","non-dropping-particle":"","parse-names":false,"suffix":""},{"dropping-particle":"","family":"Ma","given":"Jun","non-dropping-particle":"","parse-names":false,"suffix":""},{"dropping-particle":"","family":"Li","given":"Junbo","non-dropping-particle":"","parse-names":false,"suffix":""},{"dropping-particle":"","family":"Maninis","given":"Kevis-Kokitsi","non-dropping-particle":"","parse-names":false,"suffix":""},{"dropping-particle":"","family":"Chaitanya Kaluva","given":"Krishna","non-dropping-particle":"","parse-names":false,"suffix":""},{"dropping-particle":"","family":"Bi","given":"Lei","non-dropping-particle":"","parse-names":false,"suffix":""},{"dropping-particle":"","family":"Khened","given":"Mahendra","non-dropping-particle":"","parse-names":false,"suffix":""},{"dropping-particle":"","family":"Beliver","given":"Miriam","non-dropping-particle":"","parse-names":false,"suffix":""},{"dropping-particle":"","family":"Lin Aa","given":"Qizhong","non-dropping-particle":"","parse-names":false,"suffix":""},{"dropping-particle":"","family":"Yang","given":"Xiaoping","non-dropping-particle":"","parse-names":false,"suffix":""},{"dropping-particle":"","family":"Yuan","given":"Yading","non-dropping-particle":"","parse-names":false,"suffix":""},{"dropping-particle":"","family":"Chen Aa","given":"Yinan","non-dropping-particle":"","parse-names":false,"suffix":""},{"dropping-particle":"","family":"Li","given":"Yuanqiang","non-dropping-particle":"","parse-names":false,"suffix":""},{"dropping-particle":"","family":"Qiu","given":"Yudong","non-dropping-particle":"","parse-names":false,"suffix":""},{"dropping-particle":"","family":"Wu","given":"Yuli","non-dropping-particle":"","parse-names":false,"suffix":""},{"dropping-particle":"","family":"Menze","given":"Bjoern","non-dropping-particle":"","parse-names":false,"suffix":""}],"id":"ITEM-1","issued":{"date-parts":[["2019"]]},"title":"The Liver Tumor Segmentation Benchmark (LiTS)","type":"report"},"uris":["http://www.mendeley.com/documents/?uuid=e9bf4007-81dd-37e4-b030-0ffee70c6176"]}],"mendeley":{"formattedCitation":"&lt;sup&gt;11&lt;/sup&gt;","plainTextFormattedCitation":"11","previouslyFormattedCitation":"&lt;sup&gt;10&lt;/sup&gt;"},"properties":{"noteIndex":0},"schema":"https://github.com/citation-style-language/schema/raw/master/csl-citation.json"}</w:instrText>
      </w:r>
      <w:r w:rsidRPr="007F24CB">
        <w:rPr>
          <w:i/>
          <w:iCs/>
        </w:rPr>
        <w:fldChar w:fldCharType="separate"/>
      </w:r>
      <w:r w:rsidRPr="007F24CB">
        <w:rPr>
          <w:i/>
          <w:iCs/>
          <w:noProof/>
          <w:vertAlign w:val="superscript"/>
        </w:rPr>
        <w:t>11</w:t>
      </w:r>
      <w:r w:rsidRPr="007F24CB">
        <w:rPr>
          <w:i/>
          <w:iCs/>
        </w:rPr>
        <w:fldChar w:fldCharType="end"/>
      </w:r>
      <w:r w:rsidRPr="007F24CB">
        <w:rPr>
          <w:i/>
          <w:iCs/>
        </w:rPr>
        <w:t>. LiTS consists of CECT scans from 131 patients with primary and secondary liver disease</w:t>
      </w:r>
      <w:r>
        <w:rPr>
          <w:i/>
          <w:iCs/>
        </w:rPr>
        <w:t xml:space="preserve"> </w:t>
      </w:r>
      <w:r w:rsidRPr="007F24CB">
        <w:rPr>
          <w:i/>
          <w:iCs/>
          <w:u w:val="single"/>
        </w:rPr>
        <w:t xml:space="preserve">collected from </w:t>
      </w:r>
      <w:r w:rsidR="0054330C">
        <w:rPr>
          <w:i/>
          <w:iCs/>
          <w:u w:val="single"/>
        </w:rPr>
        <w:t>several</w:t>
      </w:r>
      <w:r w:rsidRPr="007F24CB">
        <w:rPr>
          <w:i/>
          <w:iCs/>
          <w:u w:val="single"/>
        </w:rPr>
        <w:t xml:space="preserve"> different institutions</w:t>
      </w:r>
      <w:r w:rsidRPr="007F24CB">
        <w:rPr>
          <w:i/>
          <w:iCs/>
          <w:u w:val="single"/>
        </w:rPr>
        <w:fldChar w:fldCharType="begin" w:fldLock="1"/>
      </w:r>
      <w:r w:rsidRPr="007F24CB">
        <w:rPr>
          <w:i/>
          <w:iCs/>
          <w:u w:val="single"/>
        </w:rPr>
        <w:instrText>ADDIN CSL_CITATION {"citationItems":[{"id":"ITEM-1","itemData":{"abstract":"In this work, we report the setup and results of the Liver Tumor Segmentation Benchmark (LiTS) organized in conjunction with the IEEE International Symposium on Biomedical Imaging (ISBI) 2017 and International Conference On Medical Image Computing &amp; Computer Assisted Intervention (MICCAI) 2017. Twenty-four valid state-of-the-art liver and liver tumor segmentation algorithms were applied to a set of 131 computed tomography (CT) volumes with different types of tumor contrast levels (hyper-/hypo-intense), abnormalities in tissues (metastasectomie) size and varying amount of lesions. The submitted algorithms have been tested on 70 undisclosed volumes. The dataset is created in collaboration with seven hospitals and research institutions and manually blind reviewed by independent three radiologists. We found that not a single algorithm performed best for liver and tumors. The best liver segmentation algorithm achieved a Dice score of 0.96(MICCAI) whereas for tumor segmentation the best algorithm evaluated at 0.67(ISBI) and 0.70(MICCAI). The LiTS image data and manual annotations continue to be publicly available through an online evaluation system as an ongoing benchmarking resource.","author":[{"dropping-particle":"","family":"Bilic","given":"Patrick","non-dropping-particle":"","parse-names":false,"suffix":""},{"dropping-particle":"","family":"Christ","given":"Patrick Ferdinand","non-dropping-particle":"","parse-names":false,"suffix":""},{"dropping-particle":"","family":"Vorontsov","given":"Eugene","non-dropping-particle":"","parse-names":false,"suffix":""},{"dropping-particle":"","family":"Chlebus","given":"Grzegorz","non-dropping-particle":"","parse-names":false,"suffix":""},{"dropping-particle":"","family":"Chen","given":"Hao","non-dropping-particle":"","parse-names":false,"suffix":""},{"dropping-particle":"","family":"Dou","given":"Qi","non-dropping-particle":"","parse-names":false,"suffix":""},{"dropping-particle":"","family":"Fu","given":"Chi-Wing","non-dropping-particle":"","parse-names":false,"suffix":""},{"dropping-particle":"","family":"Han","given":"Xiao","non-dropping-particle":"","parse-names":false,"suffix":""},{"dropping-particle":"","family":"Heng","given":"Pheng-Ann","non-dropping-particle":"","parse-names":false,"suffix":""},{"dropping-particle":"","family":"Hesser","given":"Jrgen","non-dropping-particle":"","parse-names":false,"suffix":""},{"dropping-particle":"","family":"Kadoury","given":"Samuel","non-dropping-particle":"","parse-names":false,"suffix":""},{"dropping-particle":"","family":"Kopczyski","given":"Tomasz","non-dropping-particle":"","parse-names":false,"suffix":""},{"dropping-particle":"","family":"Le","given":"Miao","non-dropping-particle":"","parse-names":false,"suffix":""},{"dropping-particle":"","family":"Li","given":"Chunming","non-dropping-particle":"","parse-names":false,"suffix":""},{"dropping-particle":"","family":"Li","given":"Xiaomeng","non-dropping-particle":"","parse-names":false,"suffix":""},{"dropping-particle":"","family":"Lipková","given":"Jana","non-dropping-particle":"","parse-names":false,"suffix":""},{"dropping-particle":"","family":"Lowengrub","given":"John","non-dropping-particle":"","parse-names":false,"suffix":""},{"dropping-particle":"","family":"Meine","given":"Hans","non-dropping-particle":"","parse-names":false,"suffix":""},{"dropping-particle":"","family":"Moltz","given":"Jan Hendrik","non-dropping-particle":"","parse-names":false,"suffix":""},{"dropping-particle":"","family":"Pal","given":"Chris","non-dropping-particle":"","parse-names":false,"suffix":""},{"dropping-particle":"","family":"Piraud","given":"Marie","non-dropping-particle":"","parse-names":false,"suffix":""},{"dropping-particle":"","family":"Qi","given":"Xiaojuan","non-dropping-particle":"","parse-names":false,"suffix":""},{"dropping-particle":"","family":"Qi","given":"Jin","non-dropping-particle":"","parse-names":false,"suffix":""},{"dropping-particle":"","family":"Rempfler","given":"Markus","non-dropping-particle":"","parse-names":false,"suffix":""},{"dropping-particle":"","family":"Roth","given":"Karsten","non-dropping-particle":"","parse-names":false,"suffix":""},{"dropping-particle":"","family":"Schenk","given":"Andrea","non-dropping-particle":"","parse-names":false,"suffix":""},{"dropping-particle":"","family":"Sekuboyina","given":"Anjany","non-dropping-particle":"","parse-names":false,"suffix":""},{"dropping-particle":"","family":"Zhou","given":"Ping","non-dropping-particle":"","parse-names":false,"suffix":""},{"dropping-particle":"","family":"Hülsemeyer","given":"Christian","non-dropping-particle":"","parse-names":false,"suffix":""},{"dropping-particle":"","family":"Beetz","given":"Marcel","non-dropping-particle":"","parse-names":false,"suffix":""},{"dropping-particle":"","family":"Ettlinger","given":"Florian","non-dropping-particle":"","parse-names":false,"suffix":""},{"dropping-particle":"","family":"Gruen","given":"Felix","non-dropping-particle":"","parse-names":false,"suffix":""},{"dropping-particle":"","family":"Kaissis","given":"Georgios","non-dropping-particle":"","parse-names":false,"suffix":""},{"dropping-particle":"","family":"Lohfer","given":"Fabian","non-dropping-particle":"","parse-names":false,"suffix":""},{"dropping-particle":"","family":"Braren","given":"Rickmer","non-dropping-particle":"","parse-names":false,"suffix":""},{"dropping-particle":"","family":"Holch","given":"Julian","non-dropping-particle":"","parse-names":false,"suffix":""},{"dropping-particle":"","family":"Hofmann","given":"Felix","non-dropping-particle":"","parse-names":false,"suffix":""},{"dropping-particle":"","family":"Sommer","given":"Wieland","non-dropping-particle":"","parse-names":false,"suffix":""},{"dropping-particle":"","family":"Heinemann","given":"Volker","non-dropping-particle":"","parse-names":false,"suffix":""},{"dropping-particle":"","family":"Jacobs","given":"Colin","non-dropping-particle":"","parse-names":false,"suffix":""},{"dropping-particle":"","family":"Efrain","given":"Gabriel","non-dropping-particle":"","parse-names":false,"suffix":""},{"dropping-particle":"","family":"Mamani","given":"Humpire","non-dropping-particle":"","parse-names":false,"suffix":""},{"dropping-particle":"","family":"Ginneken","given":"Bram","non-dropping-particle":"Van","parse-names":false,"suffix":""},{"dropping-particle":"","family":"Chartrand","given":"Gabriel","non-dropping-particle":"","parse-names":false,"suffix":""},{"dropping-particle":"","family":"Tang","given":"An","non-dropping-particle":"","parse-names":false,"suffix":""},{"dropping-particle":"","family":"Drozdzal","given":"Michal","non-dropping-particle":"","parse-names":false,"suffix":""},{"dropping-particle":"","family":"Ben-Cohen","given":"Avi","non-dropping-particle":"","parse-names":false,"suffix":""},{"dropping-particle":"","family":"Klang","given":"Eyal","non-dropping-particle":"","parse-names":false,"suffix":""},{"dropping-particle":"","family":"Amitai","given":"Marianne M","non-dropping-particle":"","parse-names":false,"suffix":""},{"dropping-particle":"","family":"Konen","given":"Eli","non-dropping-particle":"","parse-names":false,"suffix":""},{"dropping-particle":"","family":"Greenspan","given":"Hayit","non-dropping-particle":"","parse-names":false,"suffix":""},{"dropping-particle":"","family":"Moreau","given":"Johan","non-dropping-particle":"","parse-names":false,"suffix":""},{"dropping-particle":"","family":"Hostettler","given":"Alexandre","non-dropping-particle":"","parse-names":false,"suffix":""},{"dropping-particle":"","family":"Soler","given":"Luc","non-dropping-particle":"","parse-names":false,"suffix":""},{"dropping-particle":"","family":"Vivanti","given":"Refael","non-dropping-particle":"","parse-names":false,"suffix":""},{"dropping-particle":"","family":"Szeskin","given":"Adi","non-dropping-particle":"","parse-names":false,"suffix":""},{"dropping-particle":"","family":"Lev-Cohain","given":"Naama","non-dropping-particle":"","parse-names":false,"suffix":""},{"dropping-particle":"","family":"Sosna","given":"Jacob","non-dropping-particle":"","parse-names":false,"suffix":""},{"dropping-particle":"","family":"Joskowicz","given":"Leo","non-dropping-particle":"","parse-names":false,"suffix":""},{"dropping-particle":"","family":"Kumar","given":"Ashnil","non-dropping-particle":"","parse-names":false,"suffix":""},{"dropping-particle":"","family":"Kore","given":"Avinash","non-dropping-particle":"","parse-names":false,"suffix":""},{"dropping-particle":"","family":"Wang","given":"Chunliang","non-dropping-particle":"","parse-names":false,"suffix":""},{"dropping-particle":"","family":"Feng","given":"Dagan","non-dropping-particle":"","parse-names":false,"suffix":""},{"dropping-particle":"","family":"Li Aa","given":"Fan","non-dropping-particle":"","parse-names":false,"suffix":""},{"dropping-particle":"","family":"Krishnamurthi","given":"Ganapathy","non-dropping-particle":"","parse-names":false,"suffix":""},{"dropping-particle":"","family":"Wu Aa","given":"Jianrong","non-dropping-particle":"","parse-names":false,"suffix":""},{"dropping-particle":"","family":"Kim","given":"Jinman","non-dropping-particle":"","parse-names":false,"suffix":""},{"dropping-particle":"","family":"Zhou","given":"Jinyi","non-dropping-particle":"","parse-names":false,"suffix":""},{"dropping-particle":"","family":"Ma","given":"Jun","non-dropping-particle":"","parse-names":false,"suffix":""},{"dropping-particle":"","family":"Li","given":"Junbo","non-dropping-particle":"","parse-names":false,"suffix":""},{"dropping-particle":"","family":"Maninis","given":"Kevis-Kokitsi","non-dropping-particle":"","parse-names":false,"suffix":""},{"dropping-particle":"","family":"Chaitanya Kaluva","given":"Krishna","non-dropping-particle":"","parse-names":false,"suffix":""},{"dropping-particle":"","family":"Bi","given":"Lei","non-dropping-particle":"","parse-names":false,"suffix":""},{"dropping-particle":"","family":"Khened","given":"Mahendra","non-dropping-particle":"","parse-names":false,"suffix":""},{"dropping-particle":"","family":"Beliver","given":"Miriam","non-dropping-particle":"","parse-names":false,"suffix":""},{"dropping-particle":"","family":"Lin Aa","given":"Qizhong","non-dropping-particle":"","parse-names":false,"suffix":""},{"dropping-particle":"","family":"Yang","given":"Xiaoping","non-dropping-particle":"","parse-names":false,"suffix":""},{"dropping-particle":"","family":"Yuan","given":"Yading","non-dropping-particle":"","parse-names":false,"suffix":""},{"dropping-particle":"","family":"Chen Aa","given":"Yinan","non-dropping-particle":"","parse-names":false,"suffix":""},{"dropping-particle":"","family":"Li","given":"Yuanqiang","non-dropping-particle":"","parse-names":false,"suffix":""},{"dropping-particle":"","family":"Qiu","given":"Yudong","non-dropping-particle":"","parse-names":false,"suffix":""},{"dropping-particle":"","family":"Wu","given":"Yuli","non-dropping-particle":"","parse-names":false,"suffix":""},{"dropping-particle":"","family":"Menze","given":"Bjoern","non-dropping-particle":"","parse-names":false,"suffix":""}],"id":"ITEM-1","issued":{"date-parts":[["2019"]]},"title":"The Liver Tumor Segmentation Benchmark (LiTS)","type":"report"},"uris":["http://www.mendeley.com/documents/?uuid=e9bf4007-81dd-37e4-b030-0ffee70c6176"]}],"mendeley":{"formattedCitation":"&lt;sup&gt;11&lt;/sup&gt;","plainTextFormattedCitation":"11","previouslyFormattedCitation":"&lt;sup&gt;10&lt;/sup&gt;"},"properties":{"noteIndex":0},"schema":"https://github.com/citation-style-language/schema/raw/master/csl-citation.json"}</w:instrText>
      </w:r>
      <w:r w:rsidRPr="007F24CB">
        <w:rPr>
          <w:i/>
          <w:iCs/>
          <w:u w:val="single"/>
        </w:rPr>
        <w:fldChar w:fldCharType="separate"/>
      </w:r>
      <w:r w:rsidRPr="007F24CB">
        <w:rPr>
          <w:i/>
          <w:iCs/>
          <w:noProof/>
          <w:u w:val="single"/>
          <w:vertAlign w:val="superscript"/>
        </w:rPr>
        <w:t>11</w:t>
      </w:r>
      <w:r w:rsidRPr="007F24CB">
        <w:rPr>
          <w:i/>
          <w:iCs/>
          <w:u w:val="single"/>
        </w:rPr>
        <w:fldChar w:fldCharType="end"/>
      </w:r>
      <w:r w:rsidRPr="007F24CB">
        <w:rPr>
          <w:i/>
          <w:iCs/>
          <w:u w:val="single"/>
        </w:rPr>
        <w:t>.</w:t>
      </w:r>
      <w:r w:rsidR="0054330C">
        <w:rPr>
          <w:i/>
          <w:iCs/>
          <w:u w:val="single"/>
        </w:rPr>
        <w:t xml:space="preserve"> Subjects suffered from primary tumor disease, such as HCC, as well as secondary liver tumors and metastasis from breast, lung, and colorectal cancer.</w:t>
      </w:r>
    </w:p>
    <w:p w14:paraId="0F5CB638" w14:textId="77777777" w:rsidR="00A44408" w:rsidRDefault="00A44408" w:rsidP="007D022E">
      <w:pPr>
        <w:spacing w:after="0" w:line="240" w:lineRule="auto"/>
        <w:rPr>
          <w:rFonts w:eastAsia="Times New Roman" w:cstheme="minorHAnsi"/>
        </w:rPr>
      </w:pPr>
      <w:r>
        <w:rPr>
          <w:rFonts w:eastAsia="Times New Roman" w:cstheme="minorHAnsi"/>
        </w:rPr>
        <w:t>We have further expanded upon our explanation of the 3DIRCADb dataset</w:t>
      </w:r>
    </w:p>
    <w:p w14:paraId="618212C6" w14:textId="79E51E01" w:rsidR="00A44408" w:rsidRPr="00A44408" w:rsidRDefault="00A44408" w:rsidP="00A44408">
      <w:pPr>
        <w:spacing w:after="0" w:line="240" w:lineRule="auto"/>
        <w:ind w:left="720"/>
        <w:rPr>
          <w:rFonts w:eastAsia="Times New Roman" w:cstheme="minorHAnsi"/>
          <w:i/>
          <w:iCs/>
        </w:rPr>
      </w:pPr>
      <w:r w:rsidRPr="00A44408">
        <w:rPr>
          <w:i/>
          <w:iCs/>
        </w:rPr>
        <w:t xml:space="preserve">The model was evaluated via submission to the LiTS challenge, and the 3D-IRCADb01 publicly available dataset of 20 patients </w:t>
      </w:r>
      <w:r w:rsidRPr="00A44408">
        <w:rPr>
          <w:i/>
          <w:iCs/>
          <w:u w:val="single"/>
        </w:rPr>
        <w:t>(10 male, 10 female)</w:t>
      </w:r>
      <w:r w:rsidRPr="00A44408">
        <w:rPr>
          <w:i/>
          <w:iCs/>
        </w:rPr>
        <w:t xml:space="preserve"> with liver disease</w:t>
      </w:r>
      <w:r w:rsidRPr="00A44408">
        <w:rPr>
          <w:i/>
          <w:iCs/>
        </w:rPr>
        <w:fldChar w:fldCharType="begin" w:fldLock="1"/>
      </w:r>
      <w:r w:rsidRPr="00A44408">
        <w:rPr>
          <w:i/>
          <w:iCs/>
        </w:rPr>
        <w:instrText>ADDIN CSL_CITATION {"citationItems":[{"id":"ITEM-1","itemData":{"URL":"https://www.ircad.fr/research/3d-ircadb-01/","accessed":{"date-parts":[["2020","9","29"]]},"id":"ITEM-1","issued":{"date-parts":[["0"]]},"title":"3D-IRCADb 01 | IRCAD France","type":"webpage"},"uris":["http://www.mendeley.com/documents/?uuid=5017399d-7e9d-30ef-af49-24fa3d1cb2ca"]}],"mendeley":{"formattedCitation":"&lt;sup&gt;12&lt;/sup&gt;","plainTextFormattedCitation":"12","previouslyFormattedCitation":"&lt;sup&gt;11&lt;/sup&gt;"},"properties":{"noteIndex":0},"schema":"https://github.com/citation-style-language/schema/raw/master/csl-citation.json"}</w:instrText>
      </w:r>
      <w:r w:rsidRPr="00A44408">
        <w:rPr>
          <w:i/>
          <w:iCs/>
        </w:rPr>
        <w:fldChar w:fldCharType="separate"/>
      </w:r>
      <w:r w:rsidRPr="00A44408">
        <w:rPr>
          <w:i/>
          <w:iCs/>
          <w:noProof/>
          <w:vertAlign w:val="superscript"/>
        </w:rPr>
        <w:t>12</w:t>
      </w:r>
      <w:r w:rsidRPr="00A44408">
        <w:rPr>
          <w:i/>
          <w:iCs/>
        </w:rPr>
        <w:fldChar w:fldCharType="end"/>
      </w:r>
      <w:r w:rsidRPr="00A44408">
        <w:rPr>
          <w:i/>
          <w:iCs/>
        </w:rPr>
        <w:t>. Table 1 shows the image acquisition parameters for the training, validation, and test sets.</w:t>
      </w:r>
    </w:p>
    <w:p w14:paraId="35975D0F" w14:textId="7598C921" w:rsidR="00A44408" w:rsidRDefault="00A44408" w:rsidP="007D022E">
      <w:pPr>
        <w:spacing w:after="0" w:line="240" w:lineRule="auto"/>
        <w:rPr>
          <w:rFonts w:eastAsia="Times New Roman" w:cstheme="minorHAnsi"/>
        </w:rPr>
      </w:pPr>
      <w:r>
        <w:rPr>
          <w:rFonts w:eastAsia="Times New Roman" w:cstheme="minorHAnsi"/>
        </w:rPr>
        <w:t>The qualitative dataset is further elaborated on in the Qualitative Evaluation section</w:t>
      </w:r>
      <w:r w:rsidR="006503CE">
        <w:rPr>
          <w:rFonts w:eastAsia="Times New Roman" w:cstheme="minorHAnsi"/>
        </w:rPr>
        <w:t>.</w:t>
      </w:r>
    </w:p>
    <w:p w14:paraId="7465CB8C" w14:textId="12B09D56" w:rsidR="00A44408" w:rsidRPr="00A44408" w:rsidRDefault="00A44408" w:rsidP="00A44408">
      <w:pPr>
        <w:spacing w:after="0" w:line="240" w:lineRule="auto"/>
        <w:ind w:left="720"/>
        <w:rPr>
          <w:rFonts w:eastAsia="Times New Roman" w:cstheme="minorHAnsi"/>
          <w:i/>
          <w:iCs/>
        </w:rPr>
      </w:pPr>
      <w:r w:rsidRPr="00A44408">
        <w:rPr>
          <w:i/>
          <w:iCs/>
        </w:rPr>
        <w:t xml:space="preserve">Eighteen patients, who had previously undergone targeted thermal ablation therapy </w:t>
      </w:r>
      <w:r w:rsidR="006503CE" w:rsidRPr="006503CE">
        <w:rPr>
          <w:i/>
          <w:iCs/>
          <w:u w:val="single"/>
        </w:rPr>
        <w:t>for colorectal liver metastasis</w:t>
      </w:r>
      <w:r w:rsidR="006503CE">
        <w:rPr>
          <w:i/>
          <w:iCs/>
        </w:rPr>
        <w:t xml:space="preserve"> </w:t>
      </w:r>
      <w:r w:rsidRPr="00A44408">
        <w:rPr>
          <w:i/>
          <w:iCs/>
        </w:rPr>
        <w:t>at our institution, were</w:t>
      </w:r>
      <w:r w:rsidRPr="00A44408" w:rsidDel="00B938B9">
        <w:rPr>
          <w:i/>
          <w:iCs/>
        </w:rPr>
        <w:t xml:space="preserve"> </w:t>
      </w:r>
      <w:r w:rsidRPr="00A44408">
        <w:rPr>
          <w:i/>
          <w:iCs/>
        </w:rPr>
        <w:t>retrospectively identified under an Institutional Review Board-approved study (IRB: 2019-0213); these patients had 24 CRLM sites and 19 ablation sites.</w:t>
      </w:r>
    </w:p>
    <w:p w14:paraId="68BC7EEF" w14:textId="26F014E6" w:rsidR="0091064B" w:rsidRDefault="00755609" w:rsidP="007D022E">
      <w:pPr>
        <w:spacing w:after="0" w:line="240" w:lineRule="auto"/>
        <w:rPr>
          <w:rFonts w:eastAsia="Times New Roman" w:cstheme="minorHAnsi"/>
          <w:b/>
          <w:bCs/>
        </w:rPr>
      </w:pPr>
      <w:r w:rsidRPr="00755609">
        <w:rPr>
          <w:rFonts w:eastAsia="Times New Roman" w:cstheme="minorHAnsi"/>
          <w:b/>
          <w:bCs/>
        </w:rPr>
        <w:t>4. Methods, Image intensity manipulation:</w:t>
      </w:r>
      <w:r w:rsidRPr="00755609">
        <w:rPr>
          <w:rFonts w:eastAsia="Times New Roman" w:cstheme="minorHAnsi"/>
          <w:b/>
          <w:bCs/>
        </w:rPr>
        <w:br/>
        <w:t>a. Mean and standard deviation of what? Hounsfield values?</w:t>
      </w:r>
    </w:p>
    <w:p w14:paraId="15BF0724" w14:textId="77777777" w:rsidR="006503CE" w:rsidRDefault="0091064B" w:rsidP="007D022E">
      <w:pPr>
        <w:spacing w:after="0" w:line="240" w:lineRule="auto"/>
        <w:rPr>
          <w:rFonts w:eastAsia="Times New Roman" w:cstheme="minorHAnsi"/>
        </w:rPr>
      </w:pPr>
      <w:r>
        <w:rPr>
          <w:rFonts w:eastAsia="Times New Roman" w:cstheme="minorHAnsi"/>
        </w:rPr>
        <w:t>Thank you, we have specified that this is Hounsfield units</w:t>
      </w:r>
    </w:p>
    <w:p w14:paraId="32C12454" w14:textId="77777777" w:rsidR="006503CE" w:rsidRPr="006503CE" w:rsidRDefault="006503CE" w:rsidP="006503CE">
      <w:pPr>
        <w:spacing w:after="0" w:line="240" w:lineRule="auto"/>
        <w:ind w:left="720"/>
        <w:rPr>
          <w:i/>
          <w:iCs/>
        </w:rPr>
      </w:pPr>
      <w:r w:rsidRPr="006503CE">
        <w:rPr>
          <w:i/>
          <w:iCs/>
        </w:rPr>
        <w:t xml:space="preserve">A patient-specific mean and standard </w:t>
      </w:r>
      <w:r w:rsidRPr="006503CE">
        <w:rPr>
          <w:i/>
          <w:iCs/>
          <w:u w:val="single"/>
        </w:rPr>
        <w:t>deviation Hounsfield unit was calculated</w:t>
      </w:r>
      <w:r w:rsidRPr="006503CE">
        <w:rPr>
          <w:i/>
          <w:iCs/>
        </w:rPr>
        <w:t xml:space="preserve"> for normalization on the basis of the Full-Width-Half-Max of the values within the liver</w:t>
      </w:r>
    </w:p>
    <w:p w14:paraId="2B31B68E" w14:textId="2E794E2F" w:rsidR="00867277" w:rsidRDefault="00755609" w:rsidP="007D022E">
      <w:pPr>
        <w:spacing w:after="0" w:line="240" w:lineRule="auto"/>
        <w:rPr>
          <w:rFonts w:eastAsia="Times New Roman" w:cstheme="minorHAnsi"/>
          <w:b/>
          <w:bCs/>
        </w:rPr>
      </w:pPr>
      <w:r w:rsidRPr="00755609">
        <w:rPr>
          <w:rFonts w:eastAsia="Times New Roman" w:cstheme="minorHAnsi"/>
          <w:b/>
          <w:bCs/>
        </w:rPr>
        <w:br/>
        <w:t>b. So you applied patient specific normalization because you had the liver masks – but how will this translate to new datasets that do not have liver mask?</w:t>
      </w:r>
      <w:r w:rsidRPr="00755609">
        <w:rPr>
          <w:rFonts w:eastAsia="Times New Roman" w:cstheme="minorHAnsi"/>
          <w:b/>
          <w:bCs/>
        </w:rPr>
        <w:br/>
      </w:r>
      <w:r w:rsidR="0091064B">
        <w:rPr>
          <w:rFonts w:eastAsia="Times New Roman" w:cstheme="minorHAnsi"/>
        </w:rPr>
        <w:t>This model requires segmentations of the liver to be present</w:t>
      </w:r>
      <w:r w:rsidR="00D4028F">
        <w:rPr>
          <w:rFonts w:eastAsia="Times New Roman" w:cstheme="minorHAnsi"/>
        </w:rPr>
        <w:t>. There are already several commercially available software packages for segmenting normal</w:t>
      </w:r>
      <w:r w:rsidR="008E3B3E">
        <w:rPr>
          <w:rFonts w:eastAsia="Times New Roman" w:cstheme="minorHAnsi"/>
        </w:rPr>
        <w:t xml:space="preserve"> liver.</w:t>
      </w:r>
      <w:r w:rsidRPr="00755609">
        <w:rPr>
          <w:rFonts w:eastAsia="Times New Roman" w:cstheme="minorHAnsi"/>
          <w:b/>
          <w:bCs/>
        </w:rPr>
        <w:br/>
      </w:r>
      <w:r w:rsidRPr="00755609">
        <w:rPr>
          <w:rFonts w:eastAsia="Times New Roman" w:cstheme="minorHAnsi"/>
          <w:b/>
          <w:bCs/>
        </w:rPr>
        <w:lastRenderedPageBreak/>
        <w:t>5. Training Image “Slabs”:</w:t>
      </w:r>
      <w:r w:rsidRPr="00755609">
        <w:rPr>
          <w:rFonts w:eastAsia="Times New Roman" w:cstheme="minorHAnsi"/>
          <w:b/>
          <w:bCs/>
        </w:rPr>
        <w:br/>
        <w:t>a. What classes are you talking about here? How many classes were there? Who determined the classes? No definition of the ground truth or target variables is provided before this paragraph.</w:t>
      </w:r>
    </w:p>
    <w:p w14:paraId="65839BA8" w14:textId="77777777" w:rsidR="00867277" w:rsidRDefault="00867277" w:rsidP="007D022E">
      <w:pPr>
        <w:spacing w:after="0" w:line="240" w:lineRule="auto"/>
        <w:rPr>
          <w:rFonts w:eastAsia="Times New Roman" w:cstheme="minorHAnsi"/>
        </w:rPr>
      </w:pPr>
      <w:r>
        <w:rPr>
          <w:rFonts w:eastAsia="Times New Roman" w:cstheme="minorHAnsi"/>
        </w:rPr>
        <w:t>We apologize for this not being more readily apparent. We have expanded the previous section as follows</w:t>
      </w:r>
    </w:p>
    <w:p w14:paraId="23E086C7" w14:textId="08CE0882" w:rsidR="00867277" w:rsidRPr="00867277" w:rsidRDefault="00867277" w:rsidP="00867277">
      <w:pPr>
        <w:spacing w:after="0" w:line="240" w:lineRule="auto"/>
        <w:ind w:left="720"/>
        <w:rPr>
          <w:rFonts w:eastAsia="Times New Roman" w:cstheme="minorHAnsi"/>
          <w:i/>
          <w:iCs/>
        </w:rPr>
      </w:pPr>
      <w:r w:rsidRPr="00867277">
        <w:rPr>
          <w:rFonts w:eastAsia="Times New Roman" w:cstheme="minorHAnsi"/>
          <w:i/>
          <w:iCs/>
        </w:rPr>
        <w:t>To ensure reproducibility by other institutions, we used data provided by the publicly available LiTS challenge</w:t>
      </w:r>
      <w:r w:rsidRPr="00867277">
        <w:rPr>
          <w:rFonts w:eastAsia="Times New Roman" w:cstheme="minorHAnsi"/>
          <w:i/>
          <w:iCs/>
        </w:rPr>
        <w:fldChar w:fldCharType="begin" w:fldLock="1"/>
      </w:r>
      <w:r w:rsidRPr="00867277">
        <w:rPr>
          <w:rFonts w:eastAsia="Times New Roman" w:cstheme="minorHAnsi"/>
          <w:i/>
          <w:iCs/>
        </w:rPr>
        <w:instrText>ADDIN CSL_CITATION {"citationItems":[{"id":"ITEM-1","itemData":{"abstract":"In this work, we report the setup and results of the Liver Tumor Segmentation Benchmark (LiTS) organized in conjunction with the IEEE International Symposium on Biomedical Imaging (ISBI) 2017 and International Conference On Medical Image Computing &amp; Computer Assisted Intervention (MICCAI) 2017. Twenty-four valid state-of-the-art liver and liver tumor segmentation algorithms were applied to a set of 131 computed tomography (CT) volumes with different types of tumor contrast levels (hyper-/hypo-intense), abnormalities in tissues (metastasectomie) size and varying amount of lesions. The submitted algorithms have been tested on 70 undisclosed volumes. The dataset is created in collaboration with seven hospitals and research institutions and manually blind reviewed by independent three radiologists. We found that not a single algorithm performed best for liver and tumors. The best liver segmentation algorithm achieved a Dice score of 0.96(MICCAI) whereas for tumor segmentation the best algorithm evaluated at 0.67(ISBI) and 0.70(MICCAI). The LiTS image data and manual annotations continue to be publicly available through an online evaluation system as an ongoing benchmarking resource.","author":[{"dropping-particle":"","family":"Bilic","given":"Patrick","non-dropping-particle":"","parse-names":false,"suffix":""},{"dropping-particle":"","family":"Christ","given":"Patrick Ferdinand","non-dropping-particle":"","parse-names":false,"suffix":""},{"dropping-particle":"","family":"Vorontsov","given":"Eugene","non-dropping-particle":"","parse-names":false,"suffix":""},{"dropping-particle":"","family":"Chlebus","given":"Grzegorz","non-dropping-particle":"","parse-names":false,"suffix":""},{"dropping-particle":"","family":"Chen","given":"Hao","non-dropping-particle":"","parse-names":false,"suffix":""},{"dropping-particle":"","family":"Dou","given":"Qi","non-dropping-particle":"","parse-names":false,"suffix":""},{"dropping-particle":"","family":"Fu","given":"Chi-Wing","non-dropping-particle":"","parse-names":false,"suffix":""},{"dropping-particle":"","family":"Han","given":"Xiao","non-dropping-particle":"","parse-names":false,"suffix":""},{"dropping-particle":"","family":"Heng","given":"Pheng-Ann","non-dropping-particle":"","parse-names":false,"suffix":""},{"dropping-particle":"","family":"Hesser","given":"Jrgen","non-dropping-particle":"","parse-names":false,"suffix":""},{"dropping-particle":"","family":"Kadoury","given":"Samuel","non-dropping-particle":"","parse-names":false,"suffix":""},{"dropping-particle":"","family":"Kopczyski","given":"Tomasz","non-dropping-particle":"","parse-names":false,"suffix":""},{"dropping-particle":"","family":"Le","given":"Miao","non-dropping-particle":"","parse-names":false,"suffix":""},{"dropping-particle":"","family":"Li","given":"Chunming","non-dropping-particle":"","parse-names":false,"suffix":""},{"dropping-particle":"","family":"Li","given":"Xiaomeng","non-dropping-particle":"","parse-names":false,"suffix":""},{"dropping-particle":"","family":"Lipková","given":"Jana","non-dropping-particle":"","parse-names":false,"suffix":""},{"dropping-particle":"","family":"Lowengrub","given":"John","non-dropping-particle":"","parse-names":false,"suffix":""},{"dropping-particle":"","family":"Meine","given":"Hans","non-dropping-particle":"","parse-names":false,"suffix":""},{"dropping-particle":"","family":"Moltz","given":"Jan Hendrik","non-dropping-particle":"","parse-names":false,"suffix":""},{"dropping-particle":"","family":"Pal","given":"Chris","non-dropping-particle":"","parse-names":false,"suffix":""},{"dropping-particle":"","family":"Piraud","given":"Marie","non-dropping-particle":"","parse-names":false,"suffix":""},{"dropping-particle":"","family":"Qi","given":"Xiaojuan","non-dropping-particle":"","parse-names":false,"suffix":""},{"dropping-particle":"","family":"Qi","given":"Jin","non-dropping-particle":"","parse-names":false,"suffix":""},{"dropping-particle":"","family":"Rempfler","given":"Markus","non-dropping-particle":"","parse-names":false,"suffix":""},{"dropping-particle":"","family":"Roth","given":"Karsten","non-dropping-particle":"","parse-names":false,"suffix":""},{"dropping-particle":"","family":"Schenk","given":"Andrea","non-dropping-particle":"","parse-names":false,"suffix":""},{"dropping-particle":"","family":"Sekuboyina","given":"Anjany","non-dropping-particle":"","parse-names":false,"suffix":""},{"dropping-particle":"","family":"Zhou","given":"Ping","non-dropping-particle":"","parse-names":false,"suffix":""},{"dropping-particle":"","family":"Hülsemeyer","given":"Christian","non-dropping-particle":"","parse-names":false,"suffix":""},{"dropping-particle":"","family":"Beetz","given":"Marcel","non-dropping-particle":"","parse-names":false,"suffix":""},{"dropping-particle":"","family":"Ettlinger","given":"Florian","non-dropping-particle":"","parse-names":false,"suffix":""},{"dropping-particle":"","family":"Gruen","given":"Felix","non-dropping-particle":"","parse-names":false,"suffix":""},{"dropping-particle":"","family":"Kaissis","given":"Georgios","non-dropping-particle":"","parse-names":false,"suffix":""},{"dropping-particle":"","family":"Lohfer","given":"Fabian","non-dropping-particle":"","parse-names":false,"suffix":""},{"dropping-particle":"","family":"Braren","given":"Rickmer","non-dropping-particle":"","parse-names":false,"suffix":""},{"dropping-particle":"","family":"Holch","given":"Julian","non-dropping-particle":"","parse-names":false,"suffix":""},{"dropping-particle":"","family":"Hofmann","given":"Felix","non-dropping-particle":"","parse-names":false,"suffix":""},{"dropping-particle":"","family":"Sommer","given":"Wieland","non-dropping-particle":"","parse-names":false,"suffix":""},{"dropping-particle":"","family":"Heinemann","given":"Volker","non-dropping-particle":"","parse-names":false,"suffix":""},{"dropping-particle":"","family":"Jacobs","given":"Colin","non-dropping-particle":"","parse-names":false,"suffix":""},{"dropping-particle":"","family":"Efrain","given":"Gabriel","non-dropping-particle":"","parse-names":false,"suffix":""},{"dropping-particle":"","family":"Mamani","given":"Humpire","non-dropping-particle":"","parse-names":false,"suffix":""},{"dropping-particle":"","family":"Ginneken","given":"Bram","non-dropping-particle":"Van","parse-names":false,"suffix":""},{"dropping-particle":"","family":"Chartrand","given":"Gabriel","non-dropping-particle":"","parse-names":false,"suffix":""},{"dropping-particle":"","family":"Tang","given":"An","non-dropping-particle":"","parse-names":false,"suffix":""},{"dropping-particle":"","family":"Drozdzal","given":"Michal","non-dropping-particle":"","parse-names":false,"suffix":""},{"dropping-particle":"","family":"Ben-Cohen","given":"Avi","non-dropping-particle":"","parse-names":false,"suffix":""},{"dropping-particle":"","family":"Klang","given":"Eyal","non-dropping-particle":"","parse-names":false,"suffix":""},{"dropping-particle":"","family":"Amitai","given":"Marianne M","non-dropping-particle":"","parse-names":false,"suffix":""},{"dropping-particle":"","family":"Konen","given":"Eli","non-dropping-particle":"","parse-names":false,"suffix":""},{"dropping-particle":"","family":"Greenspan","given":"Hayit","non-dropping-particle":"","parse-names":false,"suffix":""},{"dropping-particle":"","family":"Moreau","given":"Johan","non-dropping-particle":"","parse-names":false,"suffix":""},{"dropping-particle":"","family":"Hostettler","given":"Alexandre","non-dropping-particle":"","parse-names":false,"suffix":""},{"dropping-particle":"","family":"Soler","given":"Luc","non-dropping-particle":"","parse-names":false,"suffix":""},{"dropping-particle":"","family":"Vivanti","given":"Refael","non-dropping-particle":"","parse-names":false,"suffix":""},{"dropping-particle":"","family":"Szeskin","given":"Adi","non-dropping-particle":"","parse-names":false,"suffix":""},{"dropping-particle":"","family":"Lev-Cohain","given":"Naama","non-dropping-particle":"","parse-names":false,"suffix":""},{"dropping-particle":"","family":"Sosna","given":"Jacob","non-dropping-particle":"","parse-names":false,"suffix":""},{"dropping-particle":"","family":"Joskowicz","given":"Leo","non-dropping-particle":"","parse-names":false,"suffix":""},{"dropping-particle":"","family":"Kumar","given":"Ashnil","non-dropping-particle":"","parse-names":false,"suffix":""},{"dropping-particle":"","family":"Kore","given":"Avinash","non-dropping-particle":"","parse-names":false,"suffix":""},{"dropping-particle":"","family":"Wang","given":"Chunliang","non-dropping-particle":"","parse-names":false,"suffix":""},{"dropping-particle":"","family":"Feng","given":"Dagan","non-dropping-particle":"","parse-names":false,"suffix":""},{"dropping-particle":"","family":"Li Aa","given":"Fan","non-dropping-particle":"","parse-names":false,"suffix":""},{"dropping-particle":"","family":"Krishnamurthi","given":"Ganapathy","non-dropping-particle":"","parse-names":false,"suffix":""},{"dropping-particle":"","family":"Wu Aa","given":"Jianrong","non-dropping-particle":"","parse-names":false,"suffix":""},{"dropping-particle":"","family":"Kim","given":"Jinman","non-dropping-particle":"","parse-names":false,"suffix":""},{"dropping-particle":"","family":"Zhou","given":"Jinyi","non-dropping-particle":"","parse-names":false,"suffix":""},{"dropping-particle":"","family":"Ma","given":"Jun","non-dropping-particle":"","parse-names":false,"suffix":""},{"dropping-particle":"","family":"Li","given":"Junbo","non-dropping-particle":"","parse-names":false,"suffix":""},{"dropping-particle":"","family":"Maninis","given":"Kevis-Kokitsi","non-dropping-particle":"","parse-names":false,"suffix":""},{"dropping-particle":"","family":"Chaitanya Kaluva","given":"Krishna","non-dropping-particle":"","parse-names":false,"suffix":""},{"dropping-particle":"","family":"Bi","given":"Lei","non-dropping-particle":"","parse-names":false,"suffix":""},{"dropping-particle":"","family":"Khened","given":"Mahendra","non-dropping-particle":"","parse-names":false,"suffix":""},{"dropping-particle":"","family":"Beliver","given":"Miriam","non-dropping-particle":"","parse-names":false,"suffix":""},{"dropping-particle":"","family":"Lin Aa","given":"Qizhong","non-dropping-particle":"","parse-names":false,"suffix":""},{"dropping-particle":"","family":"Yang","given":"Xiaoping","non-dropping-particle":"","parse-names":false,"suffix":""},{"dropping-particle":"","family":"Yuan","given":"Yading","non-dropping-particle":"","parse-names":false,"suffix":""},{"dropping-particle":"","family":"Chen Aa","given":"Yinan","non-dropping-particle":"","parse-names":false,"suffix":""},{"dropping-particle":"","family":"Li","given":"Yuanqiang","non-dropping-particle":"","parse-names":false,"suffix":""},{"dropping-particle":"","family":"Qiu","given":"Yudong","non-dropping-particle":"","parse-names":false,"suffix":""},{"dropping-particle":"","family":"Wu","given":"Yuli","non-dropping-particle":"","parse-names":false,"suffix":""},{"dropping-particle":"","family":"Menze","given":"Bjoern","non-dropping-particle":"","parse-names":false,"suffix":""}],"id":"ITEM-1","issued":{"date-parts":[["2019"]]},"title":"The Liver Tumor Segmentation Benchmark (LiTS)","type":"report"},"uris":["http://www.mendeley.com/documents/?uuid=e9bf4007-81dd-37e4-b030-0ffee70c6176"]}],"mendeley":{"formattedCitation":"&lt;sup&gt;11&lt;/sup&gt;","plainTextFormattedCitation":"11","previouslyFormattedCitation":"&lt;sup&gt;10&lt;/sup&gt;"},"properties":{"noteIndex":0},"schema":"https://github.com/citation-style-language/schema/raw/master/csl-citation.json"}</w:instrText>
      </w:r>
      <w:r w:rsidRPr="00867277">
        <w:rPr>
          <w:rFonts w:eastAsia="Times New Roman" w:cstheme="minorHAnsi"/>
          <w:i/>
          <w:iCs/>
        </w:rPr>
        <w:fldChar w:fldCharType="separate"/>
      </w:r>
      <w:r w:rsidRPr="00867277">
        <w:rPr>
          <w:rFonts w:eastAsia="Times New Roman" w:cstheme="minorHAnsi"/>
          <w:i/>
          <w:iCs/>
          <w:vertAlign w:val="superscript"/>
        </w:rPr>
        <w:t>11</w:t>
      </w:r>
      <w:r w:rsidRPr="00867277">
        <w:rPr>
          <w:rFonts w:eastAsia="Times New Roman" w:cstheme="minorHAnsi"/>
          <w:i/>
          <w:iCs/>
        </w:rPr>
        <w:fldChar w:fldCharType="end"/>
      </w:r>
      <w:r w:rsidRPr="00867277">
        <w:rPr>
          <w:rFonts w:eastAsia="Times New Roman" w:cstheme="minorHAnsi"/>
          <w:i/>
          <w:iCs/>
        </w:rPr>
        <w:t>. LiTS consists of CECT scans from 131 patients with primary and secondary liver disease. Ground truth segmentations of the liver and disease were provided</w:t>
      </w:r>
      <w:r w:rsidR="00857914">
        <w:rPr>
          <w:rFonts w:eastAsia="Times New Roman" w:cstheme="minorHAnsi"/>
          <w:i/>
          <w:iCs/>
        </w:rPr>
        <w:t xml:space="preserve"> </w:t>
      </w:r>
      <w:r w:rsidR="00857914">
        <w:rPr>
          <w:rFonts w:eastAsia="Times New Roman" w:cstheme="minorHAnsi"/>
          <w:i/>
          <w:iCs/>
          <w:u w:val="single"/>
        </w:rPr>
        <w:t>in the data</w:t>
      </w:r>
      <w:r w:rsidRPr="00867277">
        <w:rPr>
          <w:rFonts w:eastAsia="Times New Roman" w:cstheme="minorHAnsi"/>
          <w:i/>
          <w:iCs/>
        </w:rPr>
        <w:t xml:space="preserve">, </w:t>
      </w:r>
      <w:r w:rsidRPr="00867277">
        <w:rPr>
          <w:rFonts w:eastAsia="Times New Roman" w:cstheme="minorHAnsi"/>
          <w:i/>
          <w:iCs/>
          <w:u w:val="single"/>
        </w:rPr>
        <w:t xml:space="preserve">the goal of our model is to </w:t>
      </w:r>
      <w:r>
        <w:rPr>
          <w:rFonts w:eastAsia="Times New Roman" w:cstheme="minorHAnsi"/>
          <w:i/>
          <w:iCs/>
          <w:u w:val="single"/>
        </w:rPr>
        <w:t xml:space="preserve">similarly segment the </w:t>
      </w:r>
      <w:r w:rsidRPr="00867277">
        <w:rPr>
          <w:rFonts w:eastAsia="Times New Roman" w:cstheme="minorHAnsi"/>
          <w:i/>
          <w:iCs/>
          <w:u w:val="single"/>
        </w:rPr>
        <w:t>disease</w:t>
      </w:r>
      <w:r w:rsidRPr="00867277">
        <w:rPr>
          <w:rFonts w:eastAsia="Times New Roman" w:cstheme="minorHAnsi"/>
          <w:i/>
          <w:iCs/>
        </w:rPr>
        <w:t>. Each image was reviewed by XXX to remove the data showing hyper-enhancing metastases, or lacking image acquisition parameters. 92 patients remained.</w:t>
      </w:r>
    </w:p>
    <w:p w14:paraId="74EFC9FF" w14:textId="77777777" w:rsidR="0094183C" w:rsidRDefault="00755609" w:rsidP="007D022E">
      <w:pPr>
        <w:spacing w:after="0" w:line="240" w:lineRule="auto"/>
        <w:rPr>
          <w:rFonts w:eastAsia="Times New Roman" w:cstheme="minorHAnsi"/>
          <w:b/>
          <w:bCs/>
        </w:rPr>
      </w:pPr>
      <w:r w:rsidRPr="00755609">
        <w:rPr>
          <w:rFonts w:eastAsia="Times New Roman" w:cstheme="minorHAnsi"/>
          <w:b/>
          <w:bCs/>
        </w:rPr>
        <w:br/>
        <w:t>b. What kind of loss functions were used for initial training?</w:t>
      </w:r>
    </w:p>
    <w:p w14:paraId="70AE118C" w14:textId="77777777" w:rsidR="00DB27CE" w:rsidRDefault="0094183C" w:rsidP="00DB27CE">
      <w:pPr>
        <w:spacing w:after="0" w:line="240" w:lineRule="auto"/>
        <w:rPr>
          <w:rFonts w:eastAsia="Times New Roman" w:cstheme="minorHAnsi"/>
          <w:b/>
          <w:bCs/>
        </w:rPr>
      </w:pPr>
      <w:r>
        <w:rPr>
          <w:rFonts w:eastAsia="Times New Roman" w:cstheme="minorHAnsi"/>
        </w:rPr>
        <w:t>Initial training was attempted using the same loss function as presented further on. This section was provided to help express that we investigated training on the entire liver.</w:t>
      </w:r>
      <w:r w:rsidR="00755609" w:rsidRPr="00755609">
        <w:rPr>
          <w:rFonts w:eastAsia="Times New Roman" w:cstheme="minorHAnsi"/>
          <w:b/>
          <w:bCs/>
        </w:rPr>
        <w:br/>
      </w:r>
    </w:p>
    <w:p w14:paraId="5E0B17FD" w14:textId="77777777" w:rsidR="00FF165A" w:rsidRDefault="00755609" w:rsidP="00DB27CE">
      <w:pPr>
        <w:keepNext/>
        <w:keepLines/>
        <w:spacing w:after="0" w:line="240" w:lineRule="auto"/>
        <w:rPr>
          <w:rFonts w:eastAsia="Times New Roman" w:cstheme="minorHAnsi"/>
          <w:b/>
          <w:bCs/>
        </w:rPr>
      </w:pPr>
      <w:r w:rsidRPr="00755609">
        <w:rPr>
          <w:rFonts w:eastAsia="Times New Roman" w:cstheme="minorHAnsi"/>
          <w:b/>
          <w:bCs/>
        </w:rPr>
        <w:t>c. Slabs are provided without context. What was the median size of the datasets after resampling?</w:t>
      </w:r>
    </w:p>
    <w:p w14:paraId="4373C42F" w14:textId="5981DEB1" w:rsidR="00FF165A" w:rsidRDefault="00FF165A" w:rsidP="00DB27CE">
      <w:pPr>
        <w:keepNext/>
        <w:keepLines/>
        <w:spacing w:after="0" w:line="240" w:lineRule="auto"/>
        <w:rPr>
          <w:rFonts w:eastAsia="Times New Roman" w:cstheme="minorHAnsi"/>
        </w:rPr>
      </w:pPr>
      <w:r>
        <w:rPr>
          <w:rFonts w:eastAsia="Times New Roman" w:cstheme="minorHAnsi"/>
        </w:rPr>
        <w:t>The evaluation (testing/validation) sets are evaluated against their original image resolution, the training dataset median size would be 1mm slice thickness, and 0.75mm in the axial plane.</w:t>
      </w:r>
    </w:p>
    <w:p w14:paraId="33471EAF" w14:textId="254E2F27" w:rsidR="0094183C" w:rsidRDefault="00755609" w:rsidP="00DB27CE">
      <w:pPr>
        <w:keepNext/>
        <w:keepLines/>
        <w:spacing w:after="0" w:line="240" w:lineRule="auto"/>
        <w:rPr>
          <w:rFonts w:eastAsia="Times New Roman" w:cstheme="minorHAnsi"/>
          <w:b/>
          <w:bCs/>
        </w:rPr>
      </w:pPr>
      <w:r w:rsidRPr="00755609">
        <w:rPr>
          <w:rFonts w:eastAsia="Times New Roman" w:cstheme="minorHAnsi"/>
          <w:b/>
          <w:bCs/>
        </w:rPr>
        <w:t>d. Figure 1 does not have any captions or the corresponding groundtruth/mask files.</w:t>
      </w:r>
    </w:p>
    <w:p w14:paraId="4DA83FA8" w14:textId="6C05EAD7" w:rsidR="00D4028F" w:rsidRDefault="0094183C" w:rsidP="00DB27CE">
      <w:pPr>
        <w:keepNext/>
        <w:keepLines/>
        <w:spacing w:after="0" w:line="240" w:lineRule="auto"/>
        <w:rPr>
          <w:rFonts w:eastAsia="Times New Roman" w:cstheme="minorHAnsi"/>
        </w:rPr>
      </w:pPr>
      <w:r>
        <w:rPr>
          <w:rFonts w:eastAsia="Times New Roman" w:cstheme="minorHAnsi"/>
        </w:rPr>
        <w:t>Visualization of the d</w:t>
      </w:r>
      <w:r w:rsidR="00A02526">
        <w:rPr>
          <w:rFonts w:eastAsia="Times New Roman" w:cstheme="minorHAnsi"/>
        </w:rPr>
        <w:t xml:space="preserve">isease on the liver was originally felt to be difficult, </w:t>
      </w:r>
      <w:r w:rsidR="00DB27CE">
        <w:rPr>
          <w:rFonts w:eastAsia="Times New Roman" w:cstheme="minorHAnsi"/>
        </w:rPr>
        <w:t>we have updated the image and caption of the figure to help illustrate.</w:t>
      </w:r>
    </w:p>
    <w:p w14:paraId="35F3C713" w14:textId="77777777" w:rsidR="00DB27CE" w:rsidRDefault="00DB27CE" w:rsidP="00DB27CE">
      <w:pPr>
        <w:keepNext/>
        <w:keepLines/>
        <w:spacing w:after="0" w:line="240" w:lineRule="auto"/>
        <w:rPr>
          <w:rFonts w:eastAsia="Times New Roman" w:cstheme="minorHAnsi"/>
          <w:b/>
          <w:bCs/>
        </w:rPr>
      </w:pPr>
      <w:r>
        <w:rPr>
          <w:rFonts w:eastAsia="Times New Roman" w:cstheme="minorHAnsi"/>
          <w:b/>
          <w:bCs/>
          <w:noProof/>
        </w:rPr>
        <w:drawing>
          <wp:inline distT="0" distB="0" distL="0" distR="0" wp14:anchorId="41DD883B" wp14:editId="332414C6">
            <wp:extent cx="5029835" cy="240220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029835" cy="2402205"/>
                    </a:xfrm>
                    <a:prstGeom prst="rect">
                      <a:avLst/>
                    </a:prstGeom>
                    <a:noFill/>
                  </pic:spPr>
                </pic:pic>
              </a:graphicData>
            </a:graphic>
          </wp:inline>
        </w:drawing>
      </w:r>
    </w:p>
    <w:p w14:paraId="136D128D" w14:textId="77777777" w:rsidR="00DB27CE" w:rsidRDefault="00DB27CE" w:rsidP="00DB27CE">
      <w:pPr>
        <w:keepNext/>
        <w:keepLines/>
        <w:spacing w:after="0" w:line="240" w:lineRule="auto"/>
        <w:ind w:left="720"/>
        <w:rPr>
          <w:rFonts w:eastAsia="Times New Roman" w:cstheme="minorHAnsi"/>
          <w:i/>
          <w:iCs/>
        </w:rPr>
      </w:pPr>
      <w:r w:rsidRPr="00DB27CE">
        <w:rPr>
          <w:rFonts w:eastAsia="Times New Roman" w:cstheme="minorHAnsi"/>
          <w:i/>
          <w:iCs/>
        </w:rPr>
        <w:t>Figure 1: Liver distributed into individual cubes of 32x120x120 (LiTs volume 108). Ground truth of disease was provided by LiTs challenge. The validation and test set were not broken into cubes; our architectures accepted variable input sizes, with the entire liver being passed at once for evaluation and testing.</w:t>
      </w:r>
    </w:p>
    <w:p w14:paraId="754CDF7A" w14:textId="5BEFA3D5" w:rsidR="00A02526" w:rsidRDefault="00755609" w:rsidP="00DB27CE">
      <w:pPr>
        <w:keepNext/>
        <w:keepLines/>
        <w:spacing w:after="0" w:line="240" w:lineRule="auto"/>
        <w:rPr>
          <w:rFonts w:eastAsia="Times New Roman" w:cstheme="minorHAnsi"/>
          <w:b/>
          <w:bCs/>
        </w:rPr>
      </w:pPr>
      <w:r w:rsidRPr="00755609">
        <w:rPr>
          <w:rFonts w:eastAsia="Times New Roman" w:cstheme="minorHAnsi"/>
          <w:b/>
          <w:bCs/>
        </w:rPr>
        <w:br/>
        <w:t>e. How the slab size determined is also not clear.</w:t>
      </w:r>
    </w:p>
    <w:p w14:paraId="13AEC0E0" w14:textId="77777777" w:rsidR="00FE10ED" w:rsidRDefault="00A02526" w:rsidP="007D022E">
      <w:pPr>
        <w:spacing w:after="0" w:line="240" w:lineRule="auto"/>
        <w:rPr>
          <w:rFonts w:eastAsia="Times New Roman" w:cstheme="minorHAnsi"/>
        </w:rPr>
      </w:pPr>
      <w:r>
        <w:rPr>
          <w:rFonts w:eastAsia="Times New Roman" w:cstheme="minorHAnsi"/>
        </w:rPr>
        <w:t>Slab size was chosen arbitrarily</w:t>
      </w:r>
      <w:r w:rsidR="00FE10ED">
        <w:rPr>
          <w:rFonts w:eastAsia="Times New Roman" w:cstheme="minorHAnsi"/>
        </w:rPr>
        <w:t xml:space="preserve"> as a balance between providing a cross section of the liver, and reducing memory requirements for training.</w:t>
      </w:r>
    </w:p>
    <w:p w14:paraId="505F5691" w14:textId="77777777" w:rsidR="00FE10ED" w:rsidRPr="00FE10ED" w:rsidRDefault="00FE10ED" w:rsidP="00FE10ED">
      <w:pPr>
        <w:spacing w:after="0" w:line="240" w:lineRule="auto"/>
        <w:ind w:left="720"/>
        <w:rPr>
          <w:i/>
          <w:iCs/>
        </w:rPr>
      </w:pPr>
      <w:r w:rsidRPr="00FE10ED">
        <w:rPr>
          <w:i/>
          <w:iCs/>
        </w:rPr>
        <w:t xml:space="preserve">To account for disparities in class representation, where smaller structures (CRLM) are inherently “worth less” than large structures (normal liver), we distributed our training into unique “slabs”. Each independent disease site was divided into “slabs” of 32x120x120 voxels. </w:t>
      </w:r>
      <w:r w:rsidRPr="00FE10ED">
        <w:rPr>
          <w:i/>
          <w:iCs/>
          <w:u w:val="single"/>
        </w:rPr>
        <w:t xml:space="preserve">This size was selected arbitrarily as a balance of encompassing a large section of liver while reducing memory </w:t>
      </w:r>
      <w:r w:rsidRPr="00FE10ED">
        <w:rPr>
          <w:i/>
          <w:iCs/>
          <w:u w:val="single"/>
        </w:rPr>
        <w:lastRenderedPageBreak/>
        <w:t>requirements.</w:t>
      </w:r>
      <w:r w:rsidRPr="00FE10ED">
        <w:rPr>
          <w:i/>
          <w:iCs/>
        </w:rPr>
        <w:t xml:space="preserve"> This ensures a representation of both disease and normal liver in each training step.</w:t>
      </w:r>
    </w:p>
    <w:p w14:paraId="30201930" w14:textId="6037E5B0" w:rsidR="00311A04" w:rsidRDefault="00755609" w:rsidP="007D022E">
      <w:pPr>
        <w:spacing w:after="0" w:line="240" w:lineRule="auto"/>
        <w:rPr>
          <w:rFonts w:eastAsia="Times New Roman" w:cstheme="minorHAnsi"/>
          <w:b/>
          <w:bCs/>
        </w:rPr>
      </w:pPr>
      <w:r w:rsidRPr="00755609">
        <w:rPr>
          <w:rFonts w:eastAsia="Times New Roman" w:cstheme="minorHAnsi"/>
          <w:b/>
          <w:bCs/>
        </w:rPr>
        <w:br/>
        <w:t>f. What do you mean by after extraction 572 unique samples remained? Are you not training using all the slabs for a patient at the same time?</w:t>
      </w:r>
    </w:p>
    <w:p w14:paraId="5B737AA9" w14:textId="749AB674" w:rsidR="00FE10ED" w:rsidRDefault="009455D2" w:rsidP="007D022E">
      <w:pPr>
        <w:spacing w:after="0" w:line="240" w:lineRule="auto"/>
        <w:rPr>
          <w:rFonts w:eastAsia="Times New Roman" w:cstheme="minorHAnsi"/>
        </w:rPr>
      </w:pPr>
      <w:r>
        <w:rPr>
          <w:rFonts w:eastAsia="Times New Roman" w:cstheme="minorHAnsi"/>
        </w:rPr>
        <w:t>Thank you for the comment</w:t>
      </w:r>
      <w:r w:rsidR="00FE10ED">
        <w:rPr>
          <w:rFonts w:eastAsia="Times New Roman" w:cstheme="minorHAnsi"/>
        </w:rPr>
        <w:t xml:space="preserve">. All of the slabs for a patient </w:t>
      </w:r>
      <w:r w:rsidR="00C84E94">
        <w:rPr>
          <w:rFonts w:eastAsia="Times New Roman" w:cstheme="minorHAnsi"/>
        </w:rPr>
        <w:t>are available during the training process. Some patients will have more slabs than others, based on the amount of disease present.</w:t>
      </w:r>
      <w:r w:rsidR="00FF165A">
        <w:rPr>
          <w:rFonts w:eastAsia="Times New Roman" w:cstheme="minorHAnsi"/>
        </w:rPr>
        <w:t xml:space="preserve"> For training purposes, all of the slabs are shuffled during the training process.</w:t>
      </w:r>
    </w:p>
    <w:p w14:paraId="6A875188" w14:textId="77777777" w:rsidR="00C84E94" w:rsidRDefault="00C84E94" w:rsidP="007D022E">
      <w:pPr>
        <w:spacing w:after="0" w:line="240" w:lineRule="auto"/>
        <w:rPr>
          <w:rFonts w:eastAsia="Times New Roman" w:cstheme="minorHAnsi"/>
        </w:rPr>
      </w:pPr>
    </w:p>
    <w:p w14:paraId="3AA67C0E" w14:textId="644FD084" w:rsidR="00C84E94" w:rsidRDefault="00C84E94" w:rsidP="007D022E">
      <w:pPr>
        <w:spacing w:after="0" w:line="240" w:lineRule="auto"/>
        <w:rPr>
          <w:rFonts w:eastAsia="Times New Roman" w:cstheme="minorHAnsi"/>
          <w:b/>
          <w:bCs/>
        </w:rPr>
      </w:pPr>
      <w:r w:rsidRPr="00C84E94">
        <w:rPr>
          <w:rFonts w:eastAsia="Times New Roman" w:cstheme="minorHAnsi"/>
          <w:b/>
          <w:bCs/>
        </w:rPr>
        <w:t>I stopped reviewing after this point as I am not able to follow the training process due to insufficient details.</w:t>
      </w:r>
    </w:p>
    <w:p w14:paraId="64FF5515" w14:textId="379E53B7" w:rsidR="00C84E94" w:rsidRDefault="00C84E94" w:rsidP="007D022E">
      <w:pPr>
        <w:spacing w:after="0" w:line="240" w:lineRule="auto"/>
        <w:rPr>
          <w:rFonts w:eastAsia="Times New Roman" w:cstheme="minorHAnsi"/>
        </w:rPr>
      </w:pPr>
      <w:r>
        <w:rPr>
          <w:rFonts w:eastAsia="Times New Roman" w:cstheme="minorHAnsi"/>
        </w:rPr>
        <w:t xml:space="preserve">We apologize for the insufficiency of necessary details. We believe that some of your questions referenced above are answered further in the document, and feel confident that we can provide more information regarding training as </w:t>
      </w:r>
      <w:r w:rsidR="00FF165A">
        <w:rPr>
          <w:rFonts w:eastAsia="Times New Roman" w:cstheme="minorHAnsi"/>
        </w:rPr>
        <w:t>requested</w:t>
      </w:r>
      <w:r>
        <w:rPr>
          <w:rFonts w:eastAsia="Times New Roman" w:cstheme="minorHAnsi"/>
        </w:rPr>
        <w:t>.</w:t>
      </w:r>
    </w:p>
    <w:p w14:paraId="0983A9A2" w14:textId="1B0F622D" w:rsidR="00FA0C57" w:rsidRDefault="00FA0C57" w:rsidP="007D022E">
      <w:pPr>
        <w:spacing w:after="0" w:line="240" w:lineRule="auto"/>
        <w:rPr>
          <w:rFonts w:eastAsia="Times New Roman" w:cstheme="minorHAnsi"/>
        </w:rPr>
      </w:pPr>
    </w:p>
    <w:p w14:paraId="38362646" w14:textId="19A962D8" w:rsidR="00FA0C57" w:rsidRDefault="00FA0C57" w:rsidP="00FF165A">
      <w:pPr>
        <w:pageBreakBefore/>
        <w:spacing w:after="0" w:line="240" w:lineRule="auto"/>
        <w:rPr>
          <w:rFonts w:eastAsia="Times New Roman" w:cstheme="minorHAnsi"/>
          <w:b/>
          <w:bCs/>
        </w:rPr>
      </w:pPr>
      <w:r>
        <w:rPr>
          <w:rFonts w:eastAsia="Times New Roman" w:cstheme="minorHAnsi"/>
          <w:b/>
          <w:bCs/>
        </w:rPr>
        <w:lastRenderedPageBreak/>
        <w:t>Reviewer 4</w:t>
      </w:r>
    </w:p>
    <w:p w14:paraId="201CF4B0" w14:textId="77777777" w:rsidR="00FA0C57" w:rsidRDefault="00FA0C57" w:rsidP="007D022E">
      <w:pPr>
        <w:spacing w:after="0" w:line="240" w:lineRule="auto"/>
        <w:rPr>
          <w:rFonts w:eastAsia="Times New Roman" w:cstheme="minorHAnsi"/>
          <w:b/>
          <w:bCs/>
        </w:rPr>
      </w:pPr>
      <w:r w:rsidRPr="00FA0C57">
        <w:rPr>
          <w:rFonts w:eastAsia="Times New Roman" w:cstheme="minorHAnsi"/>
          <w:b/>
          <w:bCs/>
        </w:rPr>
        <w:t>The use of Convolutional Neural Networks needs a larger dataset to get accurate results. If the dataset is limited, a data augmentation stage will be mandatory.</w:t>
      </w:r>
    </w:p>
    <w:p w14:paraId="4F7B902C" w14:textId="77777777" w:rsidR="00B5407B" w:rsidRDefault="00FA0C57" w:rsidP="007D022E">
      <w:pPr>
        <w:spacing w:after="0" w:line="240" w:lineRule="auto"/>
        <w:rPr>
          <w:rFonts w:eastAsia="Times New Roman" w:cstheme="minorHAnsi"/>
        </w:rPr>
      </w:pPr>
      <w:r>
        <w:rPr>
          <w:rFonts w:eastAsia="Times New Roman" w:cstheme="minorHAnsi"/>
        </w:rPr>
        <w:t xml:space="preserve">Thank you for the response. </w:t>
      </w:r>
      <w:r w:rsidR="00B5407B">
        <w:rPr>
          <w:rFonts w:eastAsia="Times New Roman" w:cstheme="minorHAnsi"/>
        </w:rPr>
        <w:t>The authors did investigate providing augmentations in the form of flipping and mirroring the provided slabs during training. A statement on this has been added to the document.</w:t>
      </w:r>
    </w:p>
    <w:p w14:paraId="7F064CF3" w14:textId="77777777" w:rsidR="00B5407B" w:rsidRPr="00B5407B" w:rsidRDefault="00B5407B" w:rsidP="00B5407B">
      <w:pPr>
        <w:spacing w:after="0" w:line="240" w:lineRule="auto"/>
        <w:ind w:left="720"/>
        <w:rPr>
          <w:rFonts w:eastAsia="Times New Roman" w:cstheme="minorHAnsi"/>
          <w:i/>
          <w:iCs/>
        </w:rPr>
      </w:pPr>
      <w:r w:rsidRPr="00B5407B">
        <w:rPr>
          <w:rFonts w:eastAsia="Times New Roman" w:cstheme="minorHAnsi"/>
          <w:i/>
          <w:iCs/>
        </w:rPr>
        <w:t>For training each model, a variation in the cyclical learning rate</w:t>
      </w:r>
      <w:r w:rsidRPr="00B5407B">
        <w:rPr>
          <w:rFonts w:eastAsia="Times New Roman" w:cstheme="minorHAnsi"/>
          <w:i/>
          <w:iCs/>
        </w:rPr>
        <w:fldChar w:fldCharType="begin" w:fldLock="1"/>
      </w:r>
      <w:r w:rsidRPr="00B5407B">
        <w:rPr>
          <w:rFonts w:eastAsia="Times New Roman" w:cstheme="minorHAnsi"/>
          <w:i/>
          <w:iCs/>
        </w:rPr>
        <w:instrText>ADDIN CSL_CITATION {"citationItems":[{"id":"ITEM-1","itemData":{"abstract":"It is known that the learning rate is the most important hyper-parameter to tune for training deep neural networks. This paper describes a new method for setting the learning rate, named cyclical learning rates, which practically eliminates the need to experimentally find the best values and schedule for the global learning rates. Instead of mono-tonically decreasing the learning rate, this method lets the learning rate cyclically vary between reasonable boundary values. Training with cyclical learning rates instead of fixed values achieves improved classification accuracy without a need to tune and often in fewer iterations. This paper also describes a simple way to estimate \"reasonable bounds\"-linearly increasing the learning rate of the network for a few epochs. In addition, cyclical learning rates are demonstrated on the CIFAR-10 and CIFAR-100 datasets with ResNets, Stochastic Depth networks, and DenseNets, and the ImageNet dataset with the AlexNet and GoogLeNet architectures. These are practical tools for everyone who trains neural networks.","author":[{"dropping-particle":"","family":"Smith","given":"Leslie N","non-dropping-particle":"","parse-names":false,"suffix":""}],"id":"ITEM-1","issued":{"date-parts":[["0"]]},"title":"Cyclical Learning Rates for Training Neural Networks","type":"report"},"uris":["http://www.mendeley.com/documents/?uuid=64e4e4a4-e785-36d1-a9bb-de9290f19a9b"]}],"mendeley":{"formattedCitation":"&lt;sup&gt;18&lt;/sup&gt;","plainTextFormattedCitation":"18","previouslyFormattedCitation":"&lt;sup&gt;17&lt;/sup&gt;"},"properties":{"noteIndex":0},"schema":"https://github.com/citation-style-language/schema/raw/master/csl-citation.json"}</w:instrText>
      </w:r>
      <w:r w:rsidRPr="00B5407B">
        <w:rPr>
          <w:rFonts w:eastAsia="Times New Roman" w:cstheme="minorHAnsi"/>
          <w:i/>
          <w:iCs/>
        </w:rPr>
        <w:fldChar w:fldCharType="separate"/>
      </w:r>
      <w:r w:rsidRPr="00B5407B">
        <w:rPr>
          <w:rFonts w:eastAsia="Times New Roman" w:cstheme="minorHAnsi"/>
          <w:i/>
          <w:iCs/>
          <w:vertAlign w:val="superscript"/>
        </w:rPr>
        <w:t>18</w:t>
      </w:r>
      <w:r w:rsidRPr="00B5407B">
        <w:rPr>
          <w:rFonts w:eastAsia="Times New Roman" w:cstheme="minorHAnsi"/>
          <w:i/>
          <w:iCs/>
        </w:rPr>
        <w:fldChar w:fldCharType="end"/>
      </w:r>
      <w:r w:rsidRPr="00B5407B">
        <w:rPr>
          <w:rFonts w:eastAsia="Times New Roman" w:cstheme="minorHAnsi"/>
          <w:i/>
          <w:iCs/>
        </w:rPr>
        <w:t xml:space="preserve"> was used (GitHub link: anonymized for review), with linear increase and decrease between min and max. Optimal learning rates vary based on each architecture parameter, with the minimum and maximum learning rates identified using an in-house function (Github link: anonymized for review), Supplementary Figure 1. </w:t>
      </w:r>
      <w:r w:rsidRPr="00B5407B">
        <w:rPr>
          <w:rFonts w:eastAsia="Times New Roman" w:cstheme="minorHAnsi"/>
          <w:i/>
          <w:iCs/>
          <w:u w:val="single"/>
        </w:rPr>
        <w:t>Augmentations of the training was provided in the form of flipping and mirroring the input data.</w:t>
      </w:r>
    </w:p>
    <w:p w14:paraId="16DB9138" w14:textId="77777777" w:rsidR="00B5407B" w:rsidRDefault="00FA0C57" w:rsidP="007D022E">
      <w:pPr>
        <w:spacing w:after="0" w:line="240" w:lineRule="auto"/>
        <w:rPr>
          <w:rFonts w:eastAsia="Times New Roman" w:cstheme="minorHAnsi"/>
          <w:b/>
          <w:bCs/>
        </w:rPr>
      </w:pPr>
      <w:r w:rsidRPr="00FA0C57">
        <w:rPr>
          <w:rFonts w:eastAsia="Times New Roman" w:cstheme="minorHAnsi"/>
          <w:b/>
          <w:bCs/>
        </w:rPr>
        <w:br/>
        <w:t>The number of keywords is more than expected.</w:t>
      </w:r>
    </w:p>
    <w:p w14:paraId="1B017546" w14:textId="77777777" w:rsidR="00B5407B" w:rsidRDefault="00B5407B" w:rsidP="007D022E">
      <w:pPr>
        <w:spacing w:after="0" w:line="240" w:lineRule="auto"/>
        <w:rPr>
          <w:rFonts w:eastAsia="Times New Roman" w:cstheme="minorHAnsi"/>
        </w:rPr>
      </w:pPr>
      <w:r>
        <w:rPr>
          <w:rFonts w:eastAsia="Times New Roman" w:cstheme="minorHAnsi"/>
        </w:rPr>
        <w:t>The keywords can be reduced to what the reviewers think are most pertinent.</w:t>
      </w:r>
    </w:p>
    <w:p w14:paraId="3AA5FD98" w14:textId="4E8981EA" w:rsidR="00725C16" w:rsidRDefault="00FA0C57" w:rsidP="007D022E">
      <w:pPr>
        <w:spacing w:after="0" w:line="240" w:lineRule="auto"/>
        <w:rPr>
          <w:rFonts w:eastAsia="Times New Roman" w:cstheme="minorHAnsi"/>
          <w:b/>
          <w:bCs/>
        </w:rPr>
      </w:pPr>
      <w:r w:rsidRPr="00FA0C57">
        <w:rPr>
          <w:rFonts w:eastAsia="Times New Roman" w:cstheme="minorHAnsi"/>
          <w:b/>
          <w:bCs/>
        </w:rPr>
        <w:br/>
        <w:t xml:space="preserve">Qualitative assessment is a strong point in the paper, however, results in Table 5 need statistical evaluation to check whether there is a </w:t>
      </w:r>
      <w:r w:rsidR="00FF165A" w:rsidRPr="00FA0C57">
        <w:rPr>
          <w:rFonts w:eastAsia="Times New Roman" w:cstheme="minorHAnsi"/>
          <w:b/>
          <w:bCs/>
        </w:rPr>
        <w:t>significant</w:t>
      </w:r>
      <w:r w:rsidRPr="00FA0C57">
        <w:rPr>
          <w:rFonts w:eastAsia="Times New Roman" w:cstheme="minorHAnsi"/>
          <w:b/>
          <w:bCs/>
        </w:rPr>
        <w:t xml:space="preserve"> difference or not.</w:t>
      </w:r>
    </w:p>
    <w:p w14:paraId="7A3B22A3" w14:textId="76C68343" w:rsidR="00725C16" w:rsidRDefault="004F0AC2" w:rsidP="007D022E">
      <w:pPr>
        <w:spacing w:after="0" w:line="240" w:lineRule="auto"/>
        <w:rPr>
          <w:rFonts w:eastAsia="Times New Roman" w:cstheme="minorHAnsi"/>
          <w:b/>
          <w:bCs/>
        </w:rPr>
      </w:pPr>
      <w:r>
        <w:rPr>
          <w:rFonts w:eastAsia="Times New Roman" w:cstheme="minorHAnsi"/>
        </w:rPr>
        <w:t>Thank you for the comment, we have included the p-value comparison for statistically significance.</w:t>
      </w:r>
      <w:r w:rsidR="00FA0C57" w:rsidRPr="00FA0C57">
        <w:rPr>
          <w:rFonts w:eastAsia="Times New Roman" w:cstheme="minorHAnsi"/>
          <w:b/>
          <w:bCs/>
        </w:rPr>
        <w:br/>
        <w:t>It is recommended for quantitative evaluation to get the confusion matrix</w:t>
      </w:r>
    </w:p>
    <w:p w14:paraId="7885C310" w14:textId="27DFEBAC" w:rsidR="00B74524" w:rsidRDefault="00E125EA" w:rsidP="007D022E">
      <w:pPr>
        <w:spacing w:after="0" w:line="240" w:lineRule="auto"/>
        <w:rPr>
          <w:rFonts w:eastAsia="Times New Roman" w:cstheme="minorHAnsi"/>
        </w:rPr>
      </w:pPr>
      <w:r>
        <w:rPr>
          <w:rFonts w:eastAsia="Times New Roman" w:cstheme="minorHAnsi"/>
        </w:rPr>
        <w:t>Thank you for the comment, we considered and struggled with this while creating the manuscript. We believe it is easier to conceptualize the disease site as a single entity, rather than a collection of voxels given the value of ‘1’. To create a definition of ‘true negative’, we would have every voxel in the liver not defined as disease (this ends up being ~98% of the liver in some cases).</w:t>
      </w:r>
      <w:r w:rsidR="00B74524">
        <w:rPr>
          <w:rFonts w:eastAsia="Times New Roman" w:cstheme="minorHAnsi"/>
        </w:rPr>
        <w:t xml:space="preserve"> This was the reason why we created the metrics described in Figure 5.</w:t>
      </w:r>
    </w:p>
    <w:p w14:paraId="6E6791A8" w14:textId="77777777" w:rsidR="00E30BC1" w:rsidRDefault="00E30BC1" w:rsidP="007D022E">
      <w:pPr>
        <w:spacing w:after="0" w:line="240" w:lineRule="auto"/>
        <w:rPr>
          <w:rFonts w:eastAsia="Times New Roman" w:cstheme="minorHAnsi"/>
        </w:rPr>
      </w:pPr>
    </w:p>
    <w:p w14:paraId="05C1A29D" w14:textId="77777777" w:rsidR="00E30BC1" w:rsidRPr="00D055C7" w:rsidRDefault="00E30BC1" w:rsidP="00E30BC1">
      <w:pPr>
        <w:keepNext/>
        <w:spacing w:after="0" w:line="240" w:lineRule="auto"/>
        <w:contextualSpacing/>
        <w:rPr>
          <w:rFonts w:ascii="Arial" w:hAnsi="Arial" w:cs="Arial"/>
          <w:sz w:val="16"/>
          <w:szCs w:val="16"/>
        </w:rPr>
      </w:pPr>
      <w:r w:rsidRPr="00D055C7">
        <w:rPr>
          <w:rFonts w:ascii="Arial" w:hAnsi="Arial" w:cs="Arial"/>
          <w:noProof/>
          <w:sz w:val="16"/>
          <w:szCs w:val="16"/>
        </w:rPr>
        <w:drawing>
          <wp:inline distT="0" distB="0" distL="0" distR="0" wp14:anchorId="2EDB3F06" wp14:editId="4897CC25">
            <wp:extent cx="3921261" cy="1854571"/>
            <wp:effectExtent l="0" t="0" r="3175" b="0"/>
            <wp:docPr id="2" name="Picture 2"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text&#10;&#10;Description automatically generate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924537" cy="1856120"/>
                    </a:xfrm>
                    <a:prstGeom prst="rect">
                      <a:avLst/>
                    </a:prstGeom>
                    <a:noFill/>
                    <a:ln>
                      <a:noFill/>
                    </a:ln>
                  </pic:spPr>
                </pic:pic>
              </a:graphicData>
            </a:graphic>
          </wp:inline>
        </w:drawing>
      </w:r>
    </w:p>
    <w:p w14:paraId="70881003" w14:textId="77777777" w:rsidR="00E30BC1" w:rsidRPr="00D055C7" w:rsidRDefault="00E30BC1" w:rsidP="00E30BC1">
      <w:pPr>
        <w:spacing w:after="0" w:line="240" w:lineRule="auto"/>
        <w:contextualSpacing/>
        <w:rPr>
          <w:rFonts w:ascii="Arial" w:hAnsi="Arial" w:cs="Arial"/>
          <w:sz w:val="16"/>
          <w:szCs w:val="16"/>
        </w:rPr>
      </w:pPr>
      <w:r w:rsidRPr="00D055C7">
        <w:rPr>
          <w:rFonts w:ascii="Arial" w:hAnsi="Arial" w:cs="Arial"/>
          <w:b/>
          <w:sz w:val="16"/>
          <w:szCs w:val="16"/>
        </w:rPr>
        <w:t>Figure</w:t>
      </w:r>
      <w:r>
        <w:rPr>
          <w:rFonts w:ascii="Arial" w:hAnsi="Arial" w:cs="Arial"/>
          <w:b/>
          <w:sz w:val="16"/>
          <w:szCs w:val="16"/>
        </w:rPr>
        <w:t xml:space="preserve"> 5</w:t>
      </w:r>
      <w:r w:rsidRPr="00D055C7">
        <w:rPr>
          <w:rFonts w:ascii="Arial" w:hAnsi="Arial" w:cs="Arial"/>
          <w:b/>
          <w:sz w:val="16"/>
          <w:szCs w:val="16"/>
        </w:rPr>
        <w:t>:</w:t>
      </w:r>
      <w:r w:rsidRPr="00D055C7">
        <w:rPr>
          <w:rFonts w:ascii="Arial" w:hAnsi="Arial" w:cs="Arial"/>
          <w:sz w:val="16"/>
          <w:szCs w:val="16"/>
        </w:rPr>
        <w:t xml:space="preserve"> (Left) Overlay between predicted (white) and ground truth (red) disease segmentations. (Right) Subtraction of the predicted and ground truth disease segmentation</w:t>
      </w:r>
      <w:r>
        <w:rPr>
          <w:rFonts w:ascii="Arial" w:hAnsi="Arial" w:cs="Arial"/>
          <w:sz w:val="16"/>
          <w:szCs w:val="16"/>
        </w:rPr>
        <w:t xml:space="preserve"> and</w:t>
      </w:r>
      <w:r w:rsidRPr="00D055C7">
        <w:rPr>
          <w:rFonts w:ascii="Arial" w:hAnsi="Arial" w:cs="Arial"/>
          <w:sz w:val="16"/>
          <w:szCs w:val="16"/>
        </w:rPr>
        <w:t xml:space="preserve"> over-segmentation of the disease volume (blue) and unconnected erroneous false-positive region (green). The sum of blue and green is a false-positive volume.</w:t>
      </w:r>
    </w:p>
    <w:p w14:paraId="0F6551C6" w14:textId="717A3665" w:rsidR="00725C16" w:rsidRDefault="00FA0C57" w:rsidP="007D022E">
      <w:pPr>
        <w:spacing w:after="0" w:line="240" w:lineRule="auto"/>
        <w:rPr>
          <w:rFonts w:eastAsia="Times New Roman" w:cstheme="minorHAnsi"/>
          <w:b/>
          <w:bCs/>
        </w:rPr>
      </w:pPr>
      <w:r w:rsidRPr="00FA0C57">
        <w:rPr>
          <w:rFonts w:eastAsia="Times New Roman" w:cstheme="minorHAnsi"/>
          <w:b/>
          <w:bCs/>
        </w:rPr>
        <w:br/>
        <w:t>Avoid extensive use of words like "we", "our", "us", ......</w:t>
      </w:r>
    </w:p>
    <w:p w14:paraId="044659B8" w14:textId="77777777" w:rsidR="00CA51E5" w:rsidRDefault="00CA51E5" w:rsidP="007D022E">
      <w:pPr>
        <w:spacing w:after="0" w:line="240" w:lineRule="auto"/>
        <w:rPr>
          <w:rFonts w:eastAsia="Times New Roman" w:cstheme="minorHAnsi"/>
        </w:rPr>
      </w:pPr>
      <w:r>
        <w:rPr>
          <w:rFonts w:eastAsia="Times New Roman" w:cstheme="minorHAnsi"/>
        </w:rPr>
        <w:t>We greatly appreciate this comment, a significant number of the uses of ‘we’, and ‘our’ have been changed to a more neutral tone.</w:t>
      </w:r>
    </w:p>
    <w:p w14:paraId="1241C619" w14:textId="3B7520BE" w:rsidR="00FA0C57" w:rsidRDefault="00FA0C57" w:rsidP="007D022E">
      <w:pPr>
        <w:spacing w:after="0" w:line="240" w:lineRule="auto"/>
        <w:rPr>
          <w:rFonts w:eastAsia="Times New Roman" w:cstheme="minorHAnsi"/>
          <w:b/>
          <w:bCs/>
        </w:rPr>
      </w:pPr>
      <w:r w:rsidRPr="00FA0C57">
        <w:rPr>
          <w:rFonts w:eastAsia="Times New Roman" w:cstheme="minorHAnsi"/>
          <w:b/>
          <w:bCs/>
        </w:rPr>
        <w:br/>
        <w:t>"The mean sensitivity was only 7% in disease sites &lt;10 mm in diameter" while other studies had given higher sensitivity. Please add a detailed interpretation and suggest how to improve the suggested methodology to get higher values of sensitivity.</w:t>
      </w:r>
    </w:p>
    <w:p w14:paraId="1775E8FA" w14:textId="63C6E626" w:rsidR="002676ED" w:rsidRDefault="002676ED" w:rsidP="007D022E">
      <w:pPr>
        <w:spacing w:after="0" w:line="240" w:lineRule="auto"/>
        <w:rPr>
          <w:rFonts w:eastAsia="Times New Roman" w:cstheme="minorHAnsi"/>
        </w:rPr>
      </w:pPr>
      <w:r>
        <w:rPr>
          <w:rFonts w:eastAsia="Times New Roman" w:cstheme="minorHAnsi"/>
        </w:rPr>
        <w:t>Thank you for the comment. We’ve elaborated that an individual user could lower the threshold for model to suspect disease. This would naturally lead to an increase in false positives.</w:t>
      </w:r>
    </w:p>
    <w:p w14:paraId="612C9B1E" w14:textId="14CC2634" w:rsidR="002676ED" w:rsidRDefault="002676ED" w:rsidP="002676ED">
      <w:pPr>
        <w:spacing w:after="0" w:line="240" w:lineRule="auto"/>
        <w:ind w:left="720"/>
        <w:rPr>
          <w:i/>
          <w:iCs/>
          <w:u w:val="single"/>
        </w:rPr>
      </w:pPr>
      <w:r w:rsidRPr="002676ED">
        <w:rPr>
          <w:i/>
          <w:iCs/>
        </w:rPr>
        <w:lastRenderedPageBreak/>
        <w:t xml:space="preserve">The mean sensitivity was only 7% in disease sites &lt;10 mm in diameter compared with 98% in sites &gt;15 mm. We believe that the low sensitivity in small sites may be partly due to the test data used, where several 10-15-mm disease sites were present on a single scan slice. </w:t>
      </w:r>
      <w:r w:rsidRPr="003F42B6">
        <w:rPr>
          <w:i/>
          <w:iCs/>
          <w:u w:val="single"/>
        </w:rPr>
        <w:t>We furthermore believe this model should not be used as a strictly diagnostic device. If the diagnosis of smaller disease sites is wanted, the ‘seed’ and ‘threshold’ values, discussed in Model Evaluation, can be reduced. Overall, this would increase sensitivity, while also increasing false positives.</w:t>
      </w:r>
    </w:p>
    <w:p w14:paraId="76E2561B" w14:textId="0FC7AE78" w:rsidR="003F42B6" w:rsidRPr="003F42B6" w:rsidRDefault="003F42B6" w:rsidP="003F42B6">
      <w:pPr>
        <w:spacing w:after="0" w:line="240" w:lineRule="auto"/>
        <w:rPr>
          <w:rFonts w:eastAsia="Times New Roman" w:cstheme="minorHAnsi"/>
          <w:b/>
          <w:bCs/>
          <w:u w:val="single"/>
        </w:rPr>
      </w:pPr>
    </w:p>
    <w:sectPr w:rsidR="003F42B6" w:rsidRPr="003F42B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2909"/>
    <w:rsid w:val="00094DBC"/>
    <w:rsid w:val="000E16FC"/>
    <w:rsid w:val="00106C42"/>
    <w:rsid w:val="0016107A"/>
    <w:rsid w:val="0019013D"/>
    <w:rsid w:val="001B688D"/>
    <w:rsid w:val="001F5D59"/>
    <w:rsid w:val="00243FF1"/>
    <w:rsid w:val="002676ED"/>
    <w:rsid w:val="002677E0"/>
    <w:rsid w:val="0028407D"/>
    <w:rsid w:val="002B67A9"/>
    <w:rsid w:val="00311A04"/>
    <w:rsid w:val="00316653"/>
    <w:rsid w:val="003F42B6"/>
    <w:rsid w:val="00416905"/>
    <w:rsid w:val="004A1D89"/>
    <w:rsid w:val="004F0AC2"/>
    <w:rsid w:val="004F5AC7"/>
    <w:rsid w:val="004F7426"/>
    <w:rsid w:val="0054330C"/>
    <w:rsid w:val="005528E3"/>
    <w:rsid w:val="00564D22"/>
    <w:rsid w:val="0059595F"/>
    <w:rsid w:val="005A394D"/>
    <w:rsid w:val="005E4B0C"/>
    <w:rsid w:val="006365D5"/>
    <w:rsid w:val="006503CE"/>
    <w:rsid w:val="006721F2"/>
    <w:rsid w:val="0069687C"/>
    <w:rsid w:val="006A1D94"/>
    <w:rsid w:val="00725C16"/>
    <w:rsid w:val="00755609"/>
    <w:rsid w:val="00782397"/>
    <w:rsid w:val="007A2F65"/>
    <w:rsid w:val="007D022E"/>
    <w:rsid w:val="007F24CB"/>
    <w:rsid w:val="0082527A"/>
    <w:rsid w:val="00852A77"/>
    <w:rsid w:val="0085537C"/>
    <w:rsid w:val="00857914"/>
    <w:rsid w:val="00867277"/>
    <w:rsid w:val="008E3B3E"/>
    <w:rsid w:val="008F5128"/>
    <w:rsid w:val="00903DF8"/>
    <w:rsid w:val="0091064B"/>
    <w:rsid w:val="00940B15"/>
    <w:rsid w:val="0094183C"/>
    <w:rsid w:val="009455D2"/>
    <w:rsid w:val="00960EC0"/>
    <w:rsid w:val="009B6559"/>
    <w:rsid w:val="009E769B"/>
    <w:rsid w:val="00A02526"/>
    <w:rsid w:val="00A44408"/>
    <w:rsid w:val="00A61A26"/>
    <w:rsid w:val="00AA2909"/>
    <w:rsid w:val="00AA422E"/>
    <w:rsid w:val="00B40000"/>
    <w:rsid w:val="00B5407B"/>
    <w:rsid w:val="00B56789"/>
    <w:rsid w:val="00B74524"/>
    <w:rsid w:val="00B82845"/>
    <w:rsid w:val="00BB0CE5"/>
    <w:rsid w:val="00BF508D"/>
    <w:rsid w:val="00C84E94"/>
    <w:rsid w:val="00C94246"/>
    <w:rsid w:val="00CA51E5"/>
    <w:rsid w:val="00D14297"/>
    <w:rsid w:val="00D320AF"/>
    <w:rsid w:val="00D4028F"/>
    <w:rsid w:val="00DB27CE"/>
    <w:rsid w:val="00DF0101"/>
    <w:rsid w:val="00E125EA"/>
    <w:rsid w:val="00E30BC1"/>
    <w:rsid w:val="00E85FB7"/>
    <w:rsid w:val="00EA545E"/>
    <w:rsid w:val="00EB0529"/>
    <w:rsid w:val="00EB762F"/>
    <w:rsid w:val="00EC14A3"/>
    <w:rsid w:val="00F57F58"/>
    <w:rsid w:val="00F96EEC"/>
    <w:rsid w:val="00FA0C57"/>
    <w:rsid w:val="00FE10ED"/>
    <w:rsid w:val="00FF16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D8DCF4"/>
  <w15:chartTrackingRefBased/>
  <w15:docId w15:val="{02BA0A63-7915-4530-A11F-D1CCC5D929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11A0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role">
    <w:name w:val="role"/>
    <w:basedOn w:val="DefaultParagraphFont"/>
    <w:rsid w:val="00311A04"/>
  </w:style>
  <w:style w:type="character" w:styleId="Strong">
    <w:name w:val="Strong"/>
    <w:basedOn w:val="DefaultParagraphFont"/>
    <w:uiPriority w:val="22"/>
    <w:qFormat/>
    <w:rsid w:val="00311A04"/>
    <w:rPr>
      <w:b/>
      <w:bCs/>
    </w:rPr>
  </w:style>
  <w:style w:type="character" w:customStyle="1" w:styleId="Heading1Char">
    <w:name w:val="Heading 1 Char"/>
    <w:basedOn w:val="DefaultParagraphFont"/>
    <w:link w:val="Heading1"/>
    <w:uiPriority w:val="9"/>
    <w:rsid w:val="00311A04"/>
    <w:rPr>
      <w:rFonts w:asciiTheme="majorHAnsi" w:eastAsiaTheme="majorEastAsia" w:hAnsiTheme="majorHAnsi" w:cstheme="majorBidi"/>
      <w:color w:val="2F5496" w:themeColor="accent1" w:themeShade="BF"/>
      <w:sz w:val="32"/>
      <w:szCs w:val="32"/>
    </w:rPr>
  </w:style>
  <w:style w:type="character" w:styleId="Emphasis">
    <w:name w:val="Emphasis"/>
    <w:basedOn w:val="DefaultParagraphFont"/>
    <w:uiPriority w:val="20"/>
    <w:qFormat/>
    <w:rsid w:val="0019013D"/>
    <w:rPr>
      <w:i/>
      <w:iCs/>
    </w:rPr>
  </w:style>
  <w:style w:type="paragraph" w:styleId="ListParagraph">
    <w:name w:val="List Paragraph"/>
    <w:basedOn w:val="Normal"/>
    <w:uiPriority w:val="34"/>
    <w:qFormat/>
    <w:rsid w:val="00EB762F"/>
    <w:pPr>
      <w:ind w:left="720"/>
      <w:contextualSpacing/>
    </w:pPr>
  </w:style>
  <w:style w:type="character" w:styleId="CommentReference">
    <w:name w:val="annotation reference"/>
    <w:basedOn w:val="DefaultParagraphFont"/>
    <w:uiPriority w:val="99"/>
    <w:semiHidden/>
    <w:unhideWhenUsed/>
    <w:rsid w:val="00FA0C57"/>
    <w:rPr>
      <w:sz w:val="16"/>
      <w:szCs w:val="16"/>
    </w:rPr>
  </w:style>
  <w:style w:type="paragraph" w:styleId="CommentText">
    <w:name w:val="annotation text"/>
    <w:basedOn w:val="Normal"/>
    <w:link w:val="CommentTextChar"/>
    <w:uiPriority w:val="99"/>
    <w:semiHidden/>
    <w:unhideWhenUsed/>
    <w:rsid w:val="00FA0C57"/>
    <w:pPr>
      <w:spacing w:line="240" w:lineRule="auto"/>
    </w:pPr>
    <w:rPr>
      <w:sz w:val="20"/>
      <w:szCs w:val="20"/>
    </w:rPr>
  </w:style>
  <w:style w:type="character" w:customStyle="1" w:styleId="CommentTextChar">
    <w:name w:val="Comment Text Char"/>
    <w:basedOn w:val="DefaultParagraphFont"/>
    <w:link w:val="CommentText"/>
    <w:uiPriority w:val="99"/>
    <w:semiHidden/>
    <w:rsid w:val="00FA0C57"/>
    <w:rPr>
      <w:sz w:val="20"/>
      <w:szCs w:val="20"/>
    </w:rPr>
  </w:style>
  <w:style w:type="paragraph" w:styleId="CommentSubject">
    <w:name w:val="annotation subject"/>
    <w:basedOn w:val="CommentText"/>
    <w:next w:val="CommentText"/>
    <w:link w:val="CommentSubjectChar"/>
    <w:uiPriority w:val="99"/>
    <w:semiHidden/>
    <w:unhideWhenUsed/>
    <w:rsid w:val="00FA0C57"/>
    <w:rPr>
      <w:b/>
      <w:bCs/>
    </w:rPr>
  </w:style>
  <w:style w:type="character" w:customStyle="1" w:styleId="CommentSubjectChar">
    <w:name w:val="Comment Subject Char"/>
    <w:basedOn w:val="CommentTextChar"/>
    <w:link w:val="CommentSubject"/>
    <w:uiPriority w:val="99"/>
    <w:semiHidden/>
    <w:rsid w:val="00FA0C57"/>
    <w:rPr>
      <w:b/>
      <w:bCs/>
      <w:sz w:val="20"/>
      <w:szCs w:val="20"/>
    </w:rPr>
  </w:style>
  <w:style w:type="character" w:styleId="Hyperlink">
    <w:name w:val="Hyperlink"/>
    <w:basedOn w:val="DefaultParagraphFont"/>
    <w:uiPriority w:val="99"/>
    <w:unhideWhenUsed/>
    <w:rsid w:val="00B40000"/>
    <w:rPr>
      <w:color w:val="0563C1" w:themeColor="hyperlink"/>
      <w:u w:val="single"/>
    </w:rPr>
  </w:style>
  <w:style w:type="character" w:styleId="UnresolvedMention">
    <w:name w:val="Unresolved Mention"/>
    <w:basedOn w:val="DefaultParagraphFont"/>
    <w:uiPriority w:val="99"/>
    <w:semiHidden/>
    <w:unhideWhenUsed/>
    <w:rsid w:val="00B4000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93878983">
      <w:bodyDiv w:val="1"/>
      <w:marLeft w:val="0"/>
      <w:marRight w:val="0"/>
      <w:marTop w:val="0"/>
      <w:marBottom w:val="0"/>
      <w:divBdr>
        <w:top w:val="none" w:sz="0" w:space="0" w:color="auto"/>
        <w:left w:val="none" w:sz="0" w:space="0" w:color="auto"/>
        <w:bottom w:val="none" w:sz="0" w:space="0" w:color="auto"/>
        <w:right w:val="none" w:sz="0" w:space="0" w:color="auto"/>
      </w:divBdr>
      <w:divsChild>
        <w:div w:id="935139145">
          <w:marLeft w:val="225"/>
          <w:marRight w:val="0"/>
          <w:marTop w:val="0"/>
          <w:marBottom w:val="390"/>
          <w:divBdr>
            <w:top w:val="none" w:sz="0" w:space="0" w:color="auto"/>
            <w:left w:val="none" w:sz="0" w:space="0" w:color="auto"/>
            <w:bottom w:val="none" w:sz="0" w:space="0" w:color="auto"/>
            <w:right w:val="none" w:sz="0" w:space="0" w:color="auto"/>
          </w:divBdr>
          <w:divsChild>
            <w:div w:id="98264133">
              <w:marLeft w:val="0"/>
              <w:marRight w:val="0"/>
              <w:marTop w:val="0"/>
              <w:marBottom w:val="0"/>
              <w:divBdr>
                <w:top w:val="single" w:sz="6" w:space="0" w:color="D9D9D9"/>
                <w:left w:val="none" w:sz="0" w:space="0" w:color="auto"/>
                <w:bottom w:val="none" w:sz="0" w:space="0" w:color="auto"/>
                <w:right w:val="none" w:sz="0" w:space="0" w:color="auto"/>
              </w:divBdr>
              <w:divsChild>
                <w:div w:id="971909480">
                  <w:marLeft w:val="0"/>
                  <w:marRight w:val="0"/>
                  <w:marTop w:val="0"/>
                  <w:marBottom w:val="0"/>
                  <w:divBdr>
                    <w:top w:val="none" w:sz="0" w:space="0" w:color="auto"/>
                    <w:left w:val="none" w:sz="0" w:space="0" w:color="auto"/>
                    <w:bottom w:val="none" w:sz="0" w:space="0" w:color="auto"/>
                    <w:right w:val="none" w:sz="0" w:space="0" w:color="auto"/>
                  </w:divBdr>
                  <w:divsChild>
                    <w:div w:id="1728645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0944263">
              <w:marLeft w:val="300"/>
              <w:marRight w:val="0"/>
              <w:marTop w:val="150"/>
              <w:marBottom w:val="0"/>
              <w:divBdr>
                <w:top w:val="none" w:sz="0" w:space="0" w:color="auto"/>
                <w:left w:val="none" w:sz="0" w:space="0" w:color="auto"/>
                <w:bottom w:val="none" w:sz="0" w:space="0" w:color="auto"/>
                <w:right w:val="none" w:sz="0" w:space="0" w:color="auto"/>
              </w:divBdr>
            </w:div>
          </w:divsChild>
        </w:div>
        <w:div w:id="1898123754">
          <w:marLeft w:val="225"/>
          <w:marRight w:val="0"/>
          <w:marTop w:val="0"/>
          <w:marBottom w:val="390"/>
          <w:divBdr>
            <w:top w:val="single" w:sz="6" w:space="5" w:color="707173"/>
            <w:left w:val="none" w:sz="0" w:space="0" w:color="auto"/>
            <w:bottom w:val="none" w:sz="0" w:space="0" w:color="auto"/>
            <w:right w:val="none" w:sz="0" w:space="0" w:color="auto"/>
          </w:divBdr>
          <w:divsChild>
            <w:div w:id="1745059001">
              <w:marLeft w:val="0"/>
              <w:marRight w:val="0"/>
              <w:marTop w:val="0"/>
              <w:marBottom w:val="90"/>
              <w:divBdr>
                <w:top w:val="none" w:sz="0" w:space="0" w:color="auto"/>
                <w:left w:val="none" w:sz="0" w:space="0" w:color="auto"/>
                <w:bottom w:val="none" w:sz="0" w:space="0" w:color="auto"/>
                <w:right w:val="none" w:sz="0" w:space="0" w:color="auto"/>
              </w:divBdr>
            </w:div>
            <w:div w:id="309554884">
              <w:marLeft w:val="0"/>
              <w:marRight w:val="0"/>
              <w:marTop w:val="0"/>
              <w:marBottom w:val="0"/>
              <w:divBdr>
                <w:top w:val="single" w:sz="6" w:space="0" w:color="D9D9D9"/>
                <w:left w:val="none" w:sz="0" w:space="0" w:color="auto"/>
                <w:bottom w:val="none" w:sz="0" w:space="0" w:color="auto"/>
                <w:right w:val="none" w:sz="0" w:space="0" w:color="auto"/>
              </w:divBdr>
              <w:divsChild>
                <w:div w:id="1619676102">
                  <w:marLeft w:val="0"/>
                  <w:marRight w:val="0"/>
                  <w:marTop w:val="0"/>
                  <w:marBottom w:val="0"/>
                  <w:divBdr>
                    <w:top w:val="none" w:sz="0" w:space="0" w:color="auto"/>
                    <w:left w:val="none" w:sz="0" w:space="0" w:color="auto"/>
                    <w:bottom w:val="none" w:sz="0" w:space="0" w:color="auto"/>
                    <w:right w:val="none" w:sz="0" w:space="0" w:color="auto"/>
                  </w:divBdr>
                  <w:divsChild>
                    <w:div w:id="1675111671">
                      <w:marLeft w:val="0"/>
                      <w:marRight w:val="0"/>
                      <w:marTop w:val="0"/>
                      <w:marBottom w:val="0"/>
                      <w:divBdr>
                        <w:top w:val="none" w:sz="0" w:space="0" w:color="auto"/>
                        <w:left w:val="none" w:sz="0" w:space="0" w:color="auto"/>
                        <w:bottom w:val="none" w:sz="0" w:space="0" w:color="auto"/>
                        <w:right w:val="none" w:sz="0" w:space="0" w:color="auto"/>
                      </w:divBdr>
                      <w:divsChild>
                        <w:div w:id="1685547858">
                          <w:marLeft w:val="0"/>
                          <w:marRight w:val="0"/>
                          <w:marTop w:val="0"/>
                          <w:marBottom w:val="0"/>
                          <w:divBdr>
                            <w:top w:val="none" w:sz="0" w:space="0" w:color="auto"/>
                            <w:left w:val="none" w:sz="0" w:space="0" w:color="auto"/>
                            <w:bottom w:val="none" w:sz="0" w:space="0" w:color="auto"/>
                            <w:right w:val="none" w:sz="0" w:space="0" w:color="auto"/>
                          </w:divBdr>
                        </w:div>
                      </w:divsChild>
                    </w:div>
                    <w:div w:id="88477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webSettings" Target="webSettings.xml"/><Relationship Id="rId7" Type="http://schemas.openxmlformats.org/officeDocument/2006/relationships/hyperlink" Target="https://urldefense.com/v3/__https:/www.mdpi.com/2072-6694/12/1/151__;!!LLK065n_VXAQ!iTPUaAlCSKPU2dOXszb60PZFSDNFabfQ3t5xCvqbpUPh7WVNMD7FyodPgb3jMmNg8c35avVW2n8WD2U5HV6vxYj8Kg$"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ncbi.nlm.nih.gov/pmc/articles/PMC3237298/" TargetMode="External"/><Relationship Id="rId11" Type="http://schemas.openxmlformats.org/officeDocument/2006/relationships/theme" Target="theme/theme1.xml"/><Relationship Id="rId5" Type="http://schemas.openxmlformats.org/officeDocument/2006/relationships/hyperlink" Target="https://urldefense.com/v3/__https:/www.ncbi.nlm.nih.gov/pmc/articles/PMC6677284/__;!!LLK065n_VXAQ!iTPUaAlCSKPU2dOXszb60PZFSDNFabfQ3t5xCvqbpUPh7WVNMD7FyodPgb3jMmNg8c35avVW2n8WD2U5HV6BFk0cOw$" TargetMode="External"/><Relationship Id="rId10" Type="http://schemas.openxmlformats.org/officeDocument/2006/relationships/fontTable" Target="fontTable.xml"/><Relationship Id="rId4" Type="http://schemas.openxmlformats.org/officeDocument/2006/relationships/hyperlink" Target="https://www.ncbi.nlm.nih.gov/pmc/articles/PMC4284210/" TargetMode="Externa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9113</TotalTime>
  <Pages>6</Pages>
  <Words>7592</Words>
  <Characters>43278</Characters>
  <Application>Microsoft Office Word</Application>
  <DocSecurity>0</DocSecurity>
  <Lines>360</Lines>
  <Paragraphs>101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Anderson, Brian</dc:creator>
  <cp:keywords/>
  <dc:description/>
  <cp:lastModifiedBy>Anderson, Brian</cp:lastModifiedBy>
  <cp:revision>40</cp:revision>
  <dcterms:created xsi:type="dcterms:W3CDTF">2022-03-27T23:35:00Z</dcterms:created>
  <dcterms:modified xsi:type="dcterms:W3CDTF">2022-06-27T20:44:00Z</dcterms:modified>
</cp:coreProperties>
</file>