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0006" w:rsidRDefault="004A0006" w:rsidP="004A0006">
      <w:pPr>
        <w:pStyle w:val="Heading1"/>
        <w:pageBreakBefore/>
        <w:spacing w:line="480" w:lineRule="auto"/>
        <w:rPr>
          <w:rFonts w:ascii="Times New Roman" w:hAnsi="Times New Roman" w:cs="Times New Roman"/>
          <w:b/>
          <w:color w:val="auto"/>
          <w:sz w:val="24"/>
          <w:szCs w:val="24"/>
        </w:rPr>
      </w:pPr>
      <w:r>
        <w:rPr>
          <w:rFonts w:ascii="Times New Roman" w:hAnsi="Times New Roman" w:cs="Times New Roman"/>
          <w:b/>
          <w:color w:val="auto"/>
          <w:sz w:val="24"/>
          <w:szCs w:val="24"/>
        </w:rPr>
        <w:t>Abstract</w:t>
      </w:r>
    </w:p>
    <w:p w:rsidR="004A0006" w:rsidRPr="006178B1" w:rsidRDefault="004A0006" w:rsidP="004A0006">
      <w:pPr>
        <w:spacing w:line="480" w:lineRule="auto"/>
        <w:rPr>
          <w:rFonts w:ascii="Times New Roman" w:hAnsi="Times New Roman" w:cs="Times New Roman"/>
          <w:sz w:val="24"/>
          <w:szCs w:val="24"/>
        </w:rPr>
      </w:pPr>
      <w:r w:rsidRPr="006178B1">
        <w:rPr>
          <w:rFonts w:ascii="Times New Roman" w:hAnsi="Times New Roman" w:cs="Times New Roman"/>
          <w:sz w:val="24"/>
          <w:szCs w:val="24"/>
        </w:rPr>
        <w:t xml:space="preserve">Purpose: Colorectal cancer is the third most common form of cancer in the United States, and </w:t>
      </w:r>
      <w:r>
        <w:rPr>
          <w:rFonts w:ascii="Times New Roman" w:hAnsi="Times New Roman" w:cs="Times New Roman"/>
          <w:sz w:val="24"/>
          <w:szCs w:val="24"/>
        </w:rPr>
        <w:t xml:space="preserve">up to </w:t>
      </w:r>
      <w:r w:rsidRPr="006178B1">
        <w:rPr>
          <w:rFonts w:ascii="Times New Roman" w:hAnsi="Times New Roman" w:cs="Times New Roman"/>
          <w:sz w:val="24"/>
          <w:szCs w:val="24"/>
        </w:rPr>
        <w:t>60% of these patients develop</w:t>
      </w:r>
      <w:r>
        <w:rPr>
          <w:rFonts w:ascii="Times New Roman" w:hAnsi="Times New Roman" w:cs="Times New Roman"/>
          <w:sz w:val="24"/>
          <w:szCs w:val="24"/>
        </w:rPr>
        <w:t xml:space="preserve"> liver metastasis. While hepatic resection is the curative treatment of choice, only 20% of patients are candidates at the time of diagnosis. While percutaneous thermal ablation (PTA) has demonstrated 24-51% overall 5-year survival rates, assurance of sufficient ablatio</w:t>
      </w:r>
      <w:bookmarkStart w:id="0" w:name="_GoBack"/>
      <w:bookmarkEnd w:id="0"/>
      <w:r>
        <w:rPr>
          <w:rFonts w:ascii="Times New Roman" w:hAnsi="Times New Roman" w:cs="Times New Roman"/>
          <w:sz w:val="24"/>
          <w:szCs w:val="24"/>
        </w:rPr>
        <w:t>n margin delivery (5mm) can be challenging; with current methods of 2D distance measurement not ensuring 3D minimum margin. We hypothesized that biomechanical model based deformable image registration (DIR) can remove spatial uncertainties, and differentiate local tumor progression (LTP) patients from LTP-free patients.</w:t>
      </w:r>
    </w:p>
    <w:p w:rsidR="004A0006" w:rsidRPr="006178B1" w:rsidRDefault="004A0006" w:rsidP="00211EEF">
      <w:pPr>
        <w:spacing w:line="480" w:lineRule="auto"/>
        <w:rPr>
          <w:rFonts w:ascii="Times New Roman" w:hAnsi="Times New Roman" w:cs="Times New Roman"/>
          <w:sz w:val="24"/>
          <w:szCs w:val="24"/>
        </w:rPr>
      </w:pPr>
      <w:r w:rsidRPr="006178B1">
        <w:rPr>
          <w:rFonts w:ascii="Times New Roman" w:hAnsi="Times New Roman" w:cs="Times New Roman"/>
          <w:sz w:val="24"/>
          <w:szCs w:val="24"/>
        </w:rPr>
        <w:t>Materials</w:t>
      </w:r>
      <w:r w:rsidR="00211EEF">
        <w:rPr>
          <w:rFonts w:ascii="Times New Roman" w:hAnsi="Times New Roman" w:cs="Times New Roman"/>
          <w:sz w:val="24"/>
          <w:szCs w:val="24"/>
        </w:rPr>
        <w:t xml:space="preserve"> and Methods</w:t>
      </w:r>
      <w:r w:rsidRPr="006178B1">
        <w:rPr>
          <w:rFonts w:ascii="Times New Roman" w:hAnsi="Times New Roman" w:cs="Times New Roman"/>
          <w:sz w:val="24"/>
          <w:szCs w:val="24"/>
        </w:rPr>
        <w:t>:</w:t>
      </w:r>
      <w:r>
        <w:rPr>
          <w:rFonts w:ascii="Times New Roman" w:hAnsi="Times New Roman" w:cs="Times New Roman"/>
          <w:sz w:val="24"/>
          <w:szCs w:val="24"/>
        </w:rPr>
        <w:t xml:space="preserve"> We retrospectively acquired 30 patients (16 LTP, 14 LTP-free)</w:t>
      </w:r>
      <w:r w:rsidRPr="007658FD">
        <w:rPr>
          <w:rFonts w:ascii="Times New Roman" w:hAnsi="Times New Roman" w:cs="Times New Roman"/>
          <w:sz w:val="24"/>
          <w:szCs w:val="24"/>
        </w:rPr>
        <w:t xml:space="preserve"> </w:t>
      </w:r>
      <w:r>
        <w:rPr>
          <w:rFonts w:ascii="Times New Roman" w:hAnsi="Times New Roman" w:cs="Times New Roman"/>
          <w:sz w:val="24"/>
          <w:szCs w:val="24"/>
        </w:rPr>
        <w:t>at our institution who had undergone PTA, and had a contrast-enhanced pre-treatment and post-ablation CT scan. Liver, disease, and ablation zone were manually segmented. Biomechanical model based DIR between the pre-treatment and post-ablation CT mapped the gross tumor volume onto the ablation zone, and measured 3D minimum delivered margin (MDM). An in-house ray tracing algorithm determined if progression correlated with insufficient 5mm margin achieved.</w:t>
      </w:r>
    </w:p>
    <w:p w:rsidR="004A0006" w:rsidRPr="006178B1" w:rsidRDefault="004A0006" w:rsidP="004A0006">
      <w:pPr>
        <w:spacing w:line="480" w:lineRule="auto"/>
        <w:rPr>
          <w:rFonts w:ascii="Times New Roman" w:hAnsi="Times New Roman" w:cs="Times New Roman"/>
          <w:sz w:val="24"/>
          <w:szCs w:val="24"/>
        </w:rPr>
      </w:pPr>
      <w:r w:rsidRPr="006178B1">
        <w:rPr>
          <w:rFonts w:ascii="Times New Roman" w:hAnsi="Times New Roman" w:cs="Times New Roman"/>
          <w:sz w:val="24"/>
          <w:szCs w:val="24"/>
        </w:rPr>
        <w:t>Results:</w:t>
      </w:r>
      <w:r>
        <w:rPr>
          <w:rFonts w:ascii="Times New Roman" w:hAnsi="Times New Roman" w:cs="Times New Roman"/>
          <w:sz w:val="24"/>
          <w:szCs w:val="24"/>
        </w:rPr>
        <w:t xml:space="preserve"> Mann-Whitney U test showed a significant difference (p&lt;0.01) in MDM from the LTP and LTP-free groups. 93% (13/14) of patients with LTP had correlation between progression and missing 5mm of margin volume.</w:t>
      </w:r>
    </w:p>
    <w:p w:rsidR="003A57F9" w:rsidRPr="004A0006" w:rsidRDefault="004A0006" w:rsidP="004A0006">
      <w:pPr>
        <w:spacing w:line="480" w:lineRule="auto"/>
        <w:rPr>
          <w:rFonts w:ascii="Times New Roman" w:hAnsi="Times New Roman" w:cs="Times New Roman"/>
          <w:sz w:val="24"/>
          <w:szCs w:val="24"/>
        </w:rPr>
      </w:pPr>
      <w:r w:rsidRPr="006178B1">
        <w:rPr>
          <w:rFonts w:ascii="Times New Roman" w:hAnsi="Times New Roman" w:cs="Times New Roman"/>
          <w:sz w:val="24"/>
          <w:szCs w:val="24"/>
        </w:rPr>
        <w:t xml:space="preserve">Conclusion: </w:t>
      </w:r>
      <w:r>
        <w:rPr>
          <w:rFonts w:ascii="Times New Roman" w:hAnsi="Times New Roman" w:cs="Times New Roman"/>
          <w:sz w:val="24"/>
          <w:szCs w:val="24"/>
        </w:rPr>
        <w:t>Biomechanical DIR is able to remove spatial uncertainty and allow measurement of delivered 3D MDM. This minimum margin can help ensure sufficient ablation delivery, and our workflow can provide valuable information in a clinically useful timeframe.</w:t>
      </w:r>
    </w:p>
    <w:sectPr w:rsidR="003A57F9" w:rsidRPr="004A00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6676"/>
    <w:rsid w:val="000C5688"/>
    <w:rsid w:val="00211EEF"/>
    <w:rsid w:val="003D24A2"/>
    <w:rsid w:val="004A0006"/>
    <w:rsid w:val="004D7BB8"/>
    <w:rsid w:val="004F5198"/>
    <w:rsid w:val="007658FD"/>
    <w:rsid w:val="00AA37C0"/>
    <w:rsid w:val="00E46676"/>
    <w:rsid w:val="00F1681D"/>
    <w:rsid w:val="00F72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5516E"/>
  <w15:chartTrackingRefBased/>
  <w15:docId w15:val="{E80D76A7-1CFD-4848-A1CA-C13F19001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0006"/>
  </w:style>
  <w:style w:type="paragraph" w:styleId="Heading1">
    <w:name w:val="heading 1"/>
    <w:basedOn w:val="Normal"/>
    <w:next w:val="Normal"/>
    <w:link w:val="Heading1Char"/>
    <w:uiPriority w:val="9"/>
    <w:qFormat/>
    <w:rsid w:val="00E4667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676"/>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1320</TotalTime>
  <Pages>1</Pages>
  <Words>260</Words>
  <Characters>1488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M. D. Anderson Cancer Center</Company>
  <LinksUpToDate>false</LinksUpToDate>
  <CharactersWithSpaces>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Anderson,Brian M</dc:creator>
  <cp:keywords/>
  <dc:description/>
  <cp:lastModifiedBy>Anderson,Brian M</cp:lastModifiedBy>
  <cp:revision>5</cp:revision>
  <dcterms:created xsi:type="dcterms:W3CDTF">2021-01-14T18:40:00Z</dcterms:created>
  <dcterms:modified xsi:type="dcterms:W3CDTF">2021-02-12T16:41:00Z</dcterms:modified>
</cp:coreProperties>
</file>