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090" w:rsidRPr="007C515F" w:rsidRDefault="008D2215" w:rsidP="00841F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jc w:val="center"/>
        <w:rPr>
          <w:rFonts w:asciiTheme="minorHAnsi" w:eastAsia="Times New Roman" w:hAnsiTheme="minorHAnsi" w:cs="Times New Roman"/>
          <w:b/>
          <w:sz w:val="28"/>
        </w:rPr>
      </w:pPr>
      <w:r w:rsidRPr="007C515F">
        <w:rPr>
          <w:rFonts w:asciiTheme="minorHAnsi" w:eastAsia="Times New Roman" w:hAnsiTheme="minorHAnsi" w:cs="Times New Roman"/>
          <w:b/>
          <w:sz w:val="28"/>
        </w:rPr>
        <w:t xml:space="preserve">CLAIM:  </w:t>
      </w:r>
      <w:r w:rsidR="00AF3799" w:rsidRPr="007C515F">
        <w:rPr>
          <w:rFonts w:asciiTheme="minorHAnsi" w:eastAsia="Times New Roman" w:hAnsiTheme="minorHAnsi" w:cs="Times New Roman"/>
          <w:b/>
          <w:sz w:val="28"/>
        </w:rPr>
        <w:t>Checklist for Artificial Intellig</w:t>
      </w:r>
      <w:r w:rsidRPr="007C515F">
        <w:rPr>
          <w:rFonts w:asciiTheme="minorHAnsi" w:eastAsia="Times New Roman" w:hAnsiTheme="minorHAnsi" w:cs="Times New Roman"/>
          <w:b/>
          <w:sz w:val="28"/>
        </w:rPr>
        <w:t>ence in Medical Imaging</w:t>
      </w:r>
    </w:p>
    <w:p w:rsidR="00177090" w:rsidRDefault="001770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tbl>
      <w:tblPr>
        <w:tblStyle w:val="a"/>
        <w:tblW w:w="953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6A0" w:firstRow="1" w:lastRow="0" w:firstColumn="1" w:lastColumn="0" w:noHBand="1" w:noVBand="1"/>
      </w:tblPr>
      <w:tblGrid>
        <w:gridCol w:w="1885"/>
        <w:gridCol w:w="540"/>
        <w:gridCol w:w="6390"/>
        <w:gridCol w:w="720"/>
      </w:tblGrid>
      <w:tr w:rsidR="008D2215" w:rsidRPr="00841F1D" w:rsidTr="0095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Section / Topic</w:t>
            </w:r>
          </w:p>
        </w:tc>
        <w:tc>
          <w:tcPr>
            <w:tcW w:w="540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No.</w:t>
            </w:r>
          </w:p>
        </w:tc>
        <w:tc>
          <w:tcPr>
            <w:tcW w:w="6390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Item</w:t>
            </w:r>
          </w:p>
        </w:tc>
        <w:tc>
          <w:tcPr>
            <w:tcW w:w="720" w:type="dxa"/>
            <w:vAlign w:val="center"/>
          </w:tcPr>
          <w:p w:rsidR="008D2215" w:rsidRPr="00841F1D" w:rsidRDefault="008D2215" w:rsidP="00951AA7">
            <w:pPr>
              <w:spacing w:before="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D2215" w:rsidRPr="00841F1D" w:rsidTr="00951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 xml:space="preserve">TITLE </w:t>
            </w:r>
            <w:r w:rsidRPr="00841F1D">
              <w:rPr>
                <w:b w:val="0"/>
                <w:color w:val="2E75B5"/>
                <w:sz w:val="22"/>
                <w:szCs w:val="22"/>
              </w:rPr>
              <w:t>/</w:t>
            </w:r>
            <w:r w:rsidRPr="00841F1D">
              <w:rPr>
                <w:color w:val="2E75B5"/>
                <w:sz w:val="22"/>
                <w:szCs w:val="22"/>
              </w:rPr>
              <w:t xml:space="preserve"> ABSTRACT</w:t>
            </w:r>
          </w:p>
        </w:tc>
        <w:tc>
          <w:tcPr>
            <w:tcW w:w="540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  <w:vAlign w:val="center"/>
          </w:tcPr>
          <w:p w:rsidR="008D2215" w:rsidRPr="00841F1D" w:rsidRDefault="008D2215" w:rsidP="00951AA7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Identification as a study of AI methodology, specifying the category of technology used (e.g., deep learning)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Structured summary of study design, methods, results, and conclusions 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INTRODUCTION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Scientific and clinical background, including the intended use and clinical role of the AI approach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Study objectives and hypotheses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METHODS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Study Design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Prospective or retrospective study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Study goal, such as model creation, exploratory study, feasibility study, non-inferiority trial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Data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Data sources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Eligibility criteria: h</w:t>
            </w:r>
            <w:r w:rsidRPr="00841F1D">
              <w:rPr>
                <w:color w:val="000000"/>
                <w:sz w:val="22"/>
                <w:szCs w:val="22"/>
              </w:rPr>
              <w:t>ow, where, and when potentially eligible participants</w:t>
            </w:r>
            <w:r w:rsidRPr="00841F1D">
              <w:rPr>
                <w:sz w:val="22"/>
                <w:szCs w:val="22"/>
              </w:rPr>
              <w:t xml:space="preserve"> or studies</w:t>
            </w:r>
            <w:r w:rsidRPr="00841F1D">
              <w:rPr>
                <w:color w:val="000000"/>
                <w:sz w:val="22"/>
                <w:szCs w:val="22"/>
              </w:rPr>
              <w:t xml:space="preserve"> were identified (</w:t>
            </w:r>
            <w:r w:rsidRPr="00841F1D">
              <w:rPr>
                <w:sz w:val="22"/>
                <w:szCs w:val="22"/>
              </w:rPr>
              <w:t xml:space="preserve">e.g., </w:t>
            </w:r>
            <w:r w:rsidRPr="00841F1D">
              <w:rPr>
                <w:color w:val="000000"/>
                <w:sz w:val="22"/>
                <w:szCs w:val="22"/>
              </w:rPr>
              <w:t xml:space="preserve"> symptoms, results from previous tests, inclusion in registry, patient-care </w:t>
            </w:r>
            <w:r w:rsidRPr="00841F1D">
              <w:rPr>
                <w:sz w:val="22"/>
                <w:szCs w:val="22"/>
              </w:rPr>
              <w:t>setting, location, dates</w:t>
            </w:r>
            <w:r w:rsidRPr="00841F1D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tabs>
                <w:tab w:val="left" w:pos="527"/>
              </w:tabs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Data pre-processing steps 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Selection of data subsets, if applicable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Definitions of data elements, with references to Common Data Elements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De-identification methods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How missing data were handled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Ground Truth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Definition of ground truth reference standard, in sufficient detail to allow replication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Rationale for choosing the reference standard (if alternatives exist)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Source of ground-truth annotations; qualifications and preparation of annotators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Annotation tools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6390" w:type="dxa"/>
          </w:tcPr>
          <w:p w:rsidR="008D2215" w:rsidRPr="00841F1D" w:rsidRDefault="007C515F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Measurement of inter- and intra</w:t>
            </w:r>
            <w:r w:rsidR="008D2215" w:rsidRPr="00841F1D">
              <w:rPr>
                <w:sz w:val="22"/>
                <w:szCs w:val="22"/>
              </w:rPr>
              <w:t>rater variability; methods to mitigate variability and/or resolve discrepancies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N/A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Data Partitions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sz w:val="22"/>
                <w:szCs w:val="22"/>
              </w:rPr>
              <w:t>Intended</w:t>
            </w:r>
            <w:r w:rsidRPr="00841F1D">
              <w:rPr>
                <w:color w:val="000000"/>
                <w:sz w:val="22"/>
                <w:szCs w:val="22"/>
              </w:rPr>
              <w:t xml:space="preserve"> sample size and how it was determined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How data were assigned to partitions; specify proportions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Level at which partitions are disjoint (e.g., image, study, patient, institution)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Detailed description of model, including inputs, outputs, all intermediate layers and connections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Software libraries, frameworks, and packages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Initialization of model parameters (e.g., randomization, transfer learning)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Training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Details of training approach, including data augmentation, hyperparameters, number of models trained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Method of selecting the final model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proofErr w:type="spellStart"/>
            <w:r w:rsidRPr="00841F1D">
              <w:rPr>
                <w:color w:val="000000"/>
                <w:sz w:val="22"/>
                <w:szCs w:val="22"/>
              </w:rPr>
              <w:t>Ensembling</w:t>
            </w:r>
            <w:proofErr w:type="spellEnd"/>
            <w:r w:rsidRPr="00841F1D">
              <w:rPr>
                <w:color w:val="000000"/>
                <w:sz w:val="22"/>
                <w:szCs w:val="22"/>
              </w:rPr>
              <w:t xml:space="preserve"> techniques, if applicable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N/A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Evaluation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28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Metrics of model performance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29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Statistical measures of significance and uncertainty (e.g., confidence intervals)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215FC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Robustness or sensitivity analysis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Methods for </w:t>
            </w:r>
            <w:proofErr w:type="spellStart"/>
            <w:r w:rsidRPr="00841F1D">
              <w:rPr>
                <w:color w:val="000000"/>
                <w:sz w:val="22"/>
                <w:szCs w:val="22"/>
              </w:rPr>
              <w:t>explainability</w:t>
            </w:r>
            <w:proofErr w:type="spellEnd"/>
            <w:r w:rsidRPr="00841F1D">
              <w:rPr>
                <w:color w:val="000000"/>
                <w:sz w:val="22"/>
                <w:szCs w:val="22"/>
              </w:rPr>
              <w:t xml:space="preserve"> or interpretability (e.g., saliency maps), and how they were validated</w:t>
            </w:r>
          </w:p>
        </w:tc>
        <w:tc>
          <w:tcPr>
            <w:tcW w:w="720" w:type="dxa"/>
          </w:tcPr>
          <w:p w:rsidR="008D2215" w:rsidRPr="00841F1D" w:rsidRDefault="00B170E6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  <w:bookmarkStart w:id="0" w:name="_GoBack"/>
            <w:bookmarkEnd w:id="0"/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Validation or testing on external data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RESULTS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Data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33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Flow of participants or cases, using a diagram to indicate inclusion and exclusion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34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Demographic and clinical characteristics of cases in each partition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N/A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i/>
                <w:color w:val="2E75B5"/>
                <w:sz w:val="22"/>
                <w:szCs w:val="22"/>
              </w:rPr>
            </w:pPr>
            <w:r w:rsidRPr="00841F1D">
              <w:rPr>
                <w:i/>
                <w:color w:val="2E75B5"/>
                <w:sz w:val="22"/>
                <w:szCs w:val="22"/>
              </w:rPr>
              <w:t>Model performance</w:t>
            </w: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35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Performance metrics for optimal model(s) on all data partitions</w:t>
            </w:r>
          </w:p>
        </w:tc>
        <w:tc>
          <w:tcPr>
            <w:tcW w:w="72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36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Estimates of diagnostic accuracy and their precision (such as 95% confidence intervals)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37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Failure analysis of incorrectly classified cases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DISCUSSION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38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Study limitations, </w:t>
            </w:r>
            <w:r w:rsidRPr="00841F1D">
              <w:rPr>
                <w:sz w:val="22"/>
                <w:szCs w:val="22"/>
              </w:rPr>
              <w:t>including</w:t>
            </w:r>
            <w:r w:rsidRPr="00841F1D">
              <w:rPr>
                <w:color w:val="000000"/>
                <w:sz w:val="22"/>
                <w:szCs w:val="22"/>
              </w:rPr>
              <w:t xml:space="preserve"> potential bias, statistical uncertainty, and generalizability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39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 xml:space="preserve">Implications for practice, including the intended use and/or clinical role 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rPr>
                <w:color w:val="2E75B5"/>
                <w:sz w:val="22"/>
                <w:szCs w:val="22"/>
              </w:rPr>
            </w:pPr>
            <w:r w:rsidRPr="00841F1D">
              <w:rPr>
                <w:color w:val="2E75B5"/>
                <w:sz w:val="22"/>
                <w:szCs w:val="22"/>
              </w:rPr>
              <w:t>OTHER INFORMATION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  <w:tc>
          <w:tcPr>
            <w:tcW w:w="639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DEEAF6" w:themeFill="accent1" w:themeFillTint="33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40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Registration number and name of registry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N/A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41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Where the full study protocol can be accessed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N/A</w:t>
            </w:r>
          </w:p>
        </w:tc>
      </w:tr>
      <w:tr w:rsidR="008D2215" w:rsidRPr="00841F1D" w:rsidTr="00841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:rsidR="008D2215" w:rsidRPr="00841F1D" w:rsidRDefault="008D2215" w:rsidP="00841F1D">
            <w:pPr>
              <w:spacing w:before="0"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</w:tcPr>
          <w:p w:rsidR="008D2215" w:rsidRPr="00841F1D" w:rsidRDefault="008D2215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 w:rsidRPr="00841F1D">
              <w:rPr>
                <w:b/>
                <w:sz w:val="22"/>
                <w:szCs w:val="22"/>
              </w:rPr>
              <w:t>42</w:t>
            </w:r>
          </w:p>
        </w:tc>
        <w:tc>
          <w:tcPr>
            <w:tcW w:w="6390" w:type="dxa"/>
          </w:tcPr>
          <w:p w:rsidR="008D2215" w:rsidRPr="00841F1D" w:rsidRDefault="008D2215" w:rsidP="00841F1D">
            <w:pPr>
              <w:spacing w:before="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841F1D">
              <w:rPr>
                <w:color w:val="000000"/>
                <w:sz w:val="22"/>
                <w:szCs w:val="22"/>
              </w:rPr>
              <w:t>Sources of funding and other support; role of funders</w:t>
            </w:r>
          </w:p>
        </w:tc>
        <w:tc>
          <w:tcPr>
            <w:tcW w:w="720" w:type="dxa"/>
          </w:tcPr>
          <w:p w:rsidR="008D2215" w:rsidRPr="00841F1D" w:rsidRDefault="00215FC3" w:rsidP="00841F1D">
            <w:pPr>
              <w:spacing w:before="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</w:tr>
    </w:tbl>
    <w:p w:rsidR="00177090" w:rsidRDefault="00177090">
      <w:bookmarkStart w:id="1" w:name="_heading=h.gjdgxs" w:colFirst="0" w:colLast="0"/>
      <w:bookmarkEnd w:id="1"/>
    </w:p>
    <w:p w:rsidR="008D2215" w:rsidRPr="005F1A32" w:rsidRDefault="008D2215" w:rsidP="005F1A32">
      <w:pPr>
        <w:spacing w:after="0" w:line="240" w:lineRule="auto"/>
      </w:pPr>
      <w:r>
        <w:t xml:space="preserve">Mongan J, Moy L, Kahn CE Jr.  </w:t>
      </w:r>
      <w:r w:rsidR="005F1A32">
        <w:t xml:space="preserve">Checklist for Artificial Intelligence in Medical Imaging (CLAIM): a guide for authors and reviewers.  </w:t>
      </w:r>
      <w:proofErr w:type="spellStart"/>
      <w:r w:rsidR="005F1A32">
        <w:t>Radiol</w:t>
      </w:r>
      <w:proofErr w:type="spellEnd"/>
      <w:r w:rsidR="005F1A32">
        <w:t xml:space="preserve"> </w:t>
      </w:r>
      <w:proofErr w:type="spellStart"/>
      <w:r w:rsidR="005F1A32">
        <w:t>Artif</w:t>
      </w:r>
      <w:proofErr w:type="spellEnd"/>
      <w:r w:rsidR="005F1A32">
        <w:t xml:space="preserve"> </w:t>
      </w:r>
      <w:proofErr w:type="spellStart"/>
      <w:r w:rsidR="005F1A32">
        <w:t>Intell</w:t>
      </w:r>
      <w:proofErr w:type="spellEnd"/>
      <w:r w:rsidR="005F1A32">
        <w:t xml:space="preserve"> </w:t>
      </w:r>
      <w:r w:rsidR="005F1A32" w:rsidRPr="005F1A32">
        <w:t>2020; 2(2):e200029</w:t>
      </w:r>
      <w:r w:rsidR="005F1A32">
        <w:t xml:space="preserve">. </w:t>
      </w:r>
      <w:hyperlink r:id="rId5" w:history="1">
        <w:r w:rsidR="005F1A32" w:rsidRPr="005F1A32">
          <w:rPr>
            <w:rStyle w:val="Hyperlink"/>
          </w:rPr>
          <w:t>https://doi.org/10.1148/ryai.2020200029</w:t>
        </w:r>
      </w:hyperlink>
    </w:p>
    <w:sectPr w:rsidR="008D2215" w:rsidRPr="005F1A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90"/>
    <w:rsid w:val="00177090"/>
    <w:rsid w:val="00215FC3"/>
    <w:rsid w:val="005F1A32"/>
    <w:rsid w:val="00667608"/>
    <w:rsid w:val="007C515F"/>
    <w:rsid w:val="00841F1D"/>
    <w:rsid w:val="008D2215"/>
    <w:rsid w:val="008F31A6"/>
    <w:rsid w:val="00951AA7"/>
    <w:rsid w:val="00A05019"/>
    <w:rsid w:val="00A3384F"/>
    <w:rsid w:val="00AF3799"/>
    <w:rsid w:val="00B170E6"/>
    <w:rsid w:val="00DA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3386"/>
  <w15:docId w15:val="{5F07D4D9-71DB-4007-AC7A-FF55C86B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dNoteBibliography">
    <w:name w:val="EndNote Bibliography"/>
    <w:basedOn w:val="Normal"/>
    <w:link w:val="EndNoteBibliographyChar"/>
    <w:qFormat/>
    <w:rsid w:val="00C06CAC"/>
    <w:pPr>
      <w:spacing w:after="0" w:line="480" w:lineRule="auto"/>
      <w:ind w:left="446" w:hanging="446"/>
    </w:pPr>
    <w:rPr>
      <w:rFonts w:ascii="Times New Roman" w:hAnsi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06CAC"/>
    <w:rPr>
      <w:rFonts w:ascii="Times New Roman" w:hAnsi="Times New Roman"/>
      <w:noProof/>
    </w:rPr>
  </w:style>
  <w:style w:type="table" w:styleId="GridTable4-Accent5">
    <w:name w:val="Grid Table 4 Accent 5"/>
    <w:basedOn w:val="TableNormal"/>
    <w:uiPriority w:val="49"/>
    <w:rsid w:val="00225800"/>
    <w:pPr>
      <w:spacing w:before="100" w:after="0" w:line="240" w:lineRule="auto"/>
    </w:pPr>
    <w:rPr>
      <w:rFonts w:eastAsiaTheme="minorEastAsia"/>
      <w:sz w:val="20"/>
      <w:szCs w:val="20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100" w:after="0" w:line="240" w:lineRule="auto"/>
    </w:pPr>
    <w:rPr>
      <w:sz w:val="20"/>
      <w:szCs w:val="20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basedOn w:val="DefaultParagraphFont"/>
    <w:uiPriority w:val="99"/>
    <w:unhideWhenUsed/>
    <w:rsid w:val="005F1A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oi.org/10.1148/ryai.20202000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b+N4WUd8ZrTjKOSWUgGt2Cdx2A==">AMUW2mXJSG25vV91qf8A97LCRBi4+wg4q5HmIXJQJYq46mZSuOpeLmBbsUzPut8I2DLzoScgSPLU9K8aet1u3QfQ7+ByqfdlJ77Qz3EvzLhGPkmdaPZFMvJCCZ9UDbTbK8HTnjAVmbaYNdfmQFTQNNGvYRz+vEE+sb6E6cVp++fMFMGJoSQXdmm9eWjF93y8jQyw54mi+fnpJiUI2sep8Ojydu7K178r6YVRatLHbHrcd9kxAS0iws++9oJm2zmDh9FeOiPk95rSQvLa/par7Q059BSrVEjNKS6im8HqDyilY1vjWUu1DjVonj84OXAsKRAdjET1nsFlK2278KhKIadduOyE5UyHvxEO9zv1q2B4fUFBLYIJ9MESEjfEFWEPw3hw0rLUl7q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479</Words>
  <Characters>3115</Characters>
  <Application>Microsoft Office Word</Application>
  <DocSecurity>0</DocSecurity>
  <Lines>51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Medicine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Kahn, Charles E</dc:creator>
  <cp:lastModifiedBy>Anderson,Brian M</cp:lastModifiedBy>
  <cp:revision>5</cp:revision>
  <dcterms:created xsi:type="dcterms:W3CDTF">2020-12-08T18:51:00Z</dcterms:created>
  <dcterms:modified xsi:type="dcterms:W3CDTF">2020-12-08T21:27:00Z</dcterms:modified>
</cp:coreProperties>
</file>